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D3" w:rsidRPr="006C39FB" w:rsidRDefault="00801A11" w:rsidP="006C39FB">
      <w:pPr>
        <w:spacing w:line="240" w:lineRule="auto"/>
        <w:jc w:val="center"/>
        <w:rPr>
          <w:rFonts w:ascii="Times New Roman" w:hAnsi="Times New Roman" w:cs="Times New Roman"/>
          <w:b/>
          <w:color w:val="0000FF"/>
          <w:sz w:val="24"/>
          <w:szCs w:val="24"/>
        </w:rPr>
      </w:pPr>
      <w:r>
        <w:rPr>
          <w:rFonts w:ascii="Times New Roman" w:hAnsi="Times New Roman" w:cs="Times New Roman"/>
          <w:b/>
          <w:noProof/>
          <w:color w:val="0000FF"/>
          <w:sz w:val="24"/>
          <w:szCs w:val="24"/>
          <w:lang w:eastAsia="fr-FR"/>
        </w:rPr>
        <w:pict>
          <v:rect id="Rectangle 9" o:spid="_x0000_s1026" style="position:absolute;left:0;text-align:left;margin-left:4pt;margin-top:61.25pt;width:445.6pt;height:68.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v3AAIAAOMDAAAOAAAAZHJzL2Uyb0RvYy54bWysU9uO0zAQfUfiHyy/01y2XbZR0xXapQhp&#10;WZAWPsBxnMbC9hjbbVK+nrGT7RZ4Q+TBmsmMz8ycOd7cjlqRo3BegqlpscgpEYZDK82+pt++7t7c&#10;UOIDMy1TYERNT8LT2+3rV5vBVqKEHlQrHEEQ46vB1rQPwVZZ5nkvNPMLsMJgsAOnWUDX7bPWsQHR&#10;tcrKPL/OBnCtdcCF9/j3fgrSbcLvOsHD567zIhBVU+wtpNOls4lntt2wau+Y7SWf22D/0IVm0mDR&#10;M9Q9C4wcnPwLSkvuwEMXFhx0Bl0nuUgz4DRF/sc0Tz2zIs2C5Hh7psn/P1j+eHyyX1xs3dsH4N89&#10;MpIN1lfnSHQ85pBm+AQt7pAdAqRhx87peBPHIGPi9HTmVIyBcPy5ul6tixKp5xgrytXV1bqMrGes&#10;er5unQ8fBGgSjZo6XFqCZ8cHH6bU55RYzcBOKpUWpwwZEHWdr/J0w4OSbYymedy+uVOOHFncPX67&#10;3Vz4tzQtAypQSV3Tm5g1a6IXrH1v2lQmMKkmG7tWZiYochJ15qswNiMmRrOB9oRUOZiUhi8DjR7c&#10;T0oGVFlN/Y8Dc4IS9dHgGtfFchllmZzl6m0kyl1GmssIMxyhahoomcy7MEn5YJ3c91ipSDQYeIcr&#10;6mQi76WruW9UUqJ/Vn2U6qWfsl7e5vYXAAAA//8DAFBLAwQUAAYACAAAACEALbDLZuUAAAAOAQAA&#10;DwAAAGRycy9kb3ducmV2LnhtbEyPzU7DMBCE70i8g7VI3KjzIyBJ41QVBcQJRKmEenPibRwR25Ht&#10;tuHtWU5wWWl3NLPz1avZjOyEPgzOCkgXCTC0nVOD7QXsPp5uCmAhSqvk6CwK+MYAq+byopaVcmf7&#10;jqdt7BmF2FBJATrGqeI8dBqNDAs3oSXt4LyRkVbfc+XlmcLNyLMkueNGDpY+aDnhg8bua3s0Ata8&#10;ez183u9yvXnJ/fNbu0/zx70Q11fzZkljvQQWcY5/DvhloP7QULHWHa0KbBRQEE6kc5bdAiO9KMsM&#10;WCsgT8sSeFPz/xjNDwAAAP//AwBQSwECLQAUAAYACAAAACEAtoM4kv4AAADhAQAAEwAAAAAAAAAA&#10;AAAAAAAAAAAAW0NvbnRlbnRfVHlwZXNdLnhtbFBLAQItABQABgAIAAAAIQA4/SH/1gAAAJQBAAAL&#10;AAAAAAAAAAAAAAAAAC8BAABfcmVscy8ucmVsc1BLAQItABQABgAIAAAAIQAZkHv3AAIAAOMDAAAO&#10;AAAAAAAAAAAAAAAAAC4CAABkcnMvZTJvRG9jLnhtbFBLAQItABQABgAIAAAAIQAtsMtm5QAAAA4B&#10;AAAPAAAAAAAAAAAAAAAAAFoEAABkcnMvZG93bnJldi54bWxQSwUGAAAAAAQABADzAAAAbAUAAAAA&#10;QUFBQUFBRm9FQUFCa2NuTXZ=&#10;" filled="f" strokecolor="blue" strokeweight="1.5pt">
            <v:path arrowok="t"/>
            <v:textbox>
              <w:txbxContent>
                <w:p w:rsidR="006C39FB" w:rsidRPr="006C39FB" w:rsidRDefault="006C39FB" w:rsidP="006C39FB">
                  <w:pPr>
                    <w:spacing w:before="100" w:beforeAutospacing="1" w:after="100" w:afterAutospacing="1" w:line="360" w:lineRule="auto"/>
                    <w:jc w:val="center"/>
                    <w:outlineLvl w:val="0"/>
                    <w:rPr>
                      <w:rFonts w:ascii="Times New Roman" w:hAnsi="Times New Roman" w:cs="Times New Roman"/>
                      <w:b/>
                      <w:bCs/>
                      <w:color w:val="0965FF"/>
                      <w:sz w:val="24"/>
                      <w:szCs w:val="24"/>
                    </w:rPr>
                  </w:pPr>
                  <w:r w:rsidRPr="006C39FB">
                    <w:rPr>
                      <w:rFonts w:ascii="Times New Roman" w:hAnsi="Times New Roman" w:cs="Times New Roman"/>
                      <w:b/>
                      <w:bCs/>
                      <w:color w:val="0965FF"/>
                      <w:kern w:val="36"/>
                      <w:sz w:val="24"/>
                      <w:szCs w:val="24"/>
                    </w:rPr>
                    <w:t>Difficulté diagnostique de l’hydrocéphalie à pression normale à Mahajanga (Madagascar) : é</w:t>
                  </w:r>
                  <w:r w:rsidRPr="006C39FB">
                    <w:rPr>
                      <w:rFonts w:ascii="Times New Roman" w:hAnsi="Times New Roman" w:cs="Times New Roman"/>
                      <w:b/>
                      <w:bCs/>
                      <w:color w:val="0965FF"/>
                      <w:sz w:val="24"/>
                      <w:szCs w:val="24"/>
                    </w:rPr>
                    <w:t xml:space="preserve">tude observationnelle transversale au Centre Hospitalier Universitaire Professeur </w:t>
                  </w:r>
                  <w:proofErr w:type="spellStart"/>
                  <w:r w:rsidRPr="006C39FB">
                    <w:rPr>
                      <w:rFonts w:ascii="Times New Roman" w:hAnsi="Times New Roman" w:cs="Times New Roman"/>
                      <w:b/>
                      <w:bCs/>
                      <w:color w:val="0965FF"/>
                      <w:sz w:val="24"/>
                      <w:szCs w:val="24"/>
                    </w:rPr>
                    <w:t>Zafisaona</w:t>
                  </w:r>
                  <w:proofErr w:type="spellEnd"/>
                  <w:r w:rsidRPr="006C39FB">
                    <w:rPr>
                      <w:rFonts w:ascii="Times New Roman" w:hAnsi="Times New Roman" w:cs="Times New Roman"/>
                      <w:b/>
                      <w:bCs/>
                      <w:color w:val="0965FF"/>
                      <w:sz w:val="24"/>
                      <w:szCs w:val="24"/>
                    </w:rPr>
                    <w:t xml:space="preserve"> Gabriel. </w:t>
                  </w:r>
                </w:p>
                <w:p w:rsidR="007578D3" w:rsidRPr="006C39FB" w:rsidRDefault="007578D3" w:rsidP="007578D3">
                  <w:pPr>
                    <w:jc w:val="center"/>
                  </w:pPr>
                </w:p>
              </w:txbxContent>
            </v:textbox>
          </v:rect>
        </w:pict>
      </w:r>
      <w:r w:rsidR="007578D3" w:rsidRPr="006C39FB">
        <w:rPr>
          <w:rFonts w:ascii="Times New Roman" w:hAnsi="Times New Roman" w:cs="Times New Roman"/>
          <w:b/>
          <w:noProof/>
          <w:color w:val="0000FF"/>
          <w:sz w:val="24"/>
          <w:szCs w:val="24"/>
          <w:lang w:eastAsia="fr-FR"/>
        </w:rPr>
        <w:drawing>
          <wp:inline distT="0" distB="0" distL="0" distR="0">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7578D3" w:rsidRPr="006C39FB" w:rsidRDefault="007578D3" w:rsidP="006C39FB">
      <w:pPr>
        <w:spacing w:line="240" w:lineRule="auto"/>
        <w:jc w:val="center"/>
        <w:rPr>
          <w:rFonts w:ascii="Times New Roman" w:hAnsi="Times New Roman" w:cs="Times New Roman"/>
          <w:b/>
          <w:color w:val="0000FF"/>
          <w:sz w:val="24"/>
          <w:szCs w:val="24"/>
        </w:rPr>
      </w:pPr>
    </w:p>
    <w:p w:rsidR="007578D3" w:rsidRPr="006C39FB" w:rsidRDefault="007578D3" w:rsidP="006C39FB">
      <w:pPr>
        <w:spacing w:line="240" w:lineRule="auto"/>
        <w:jc w:val="both"/>
        <w:rPr>
          <w:rFonts w:ascii="Times New Roman" w:hAnsi="Times New Roman" w:cs="Times New Roman"/>
          <w:color w:val="0000FF"/>
          <w:sz w:val="24"/>
          <w:szCs w:val="24"/>
        </w:rPr>
      </w:pPr>
    </w:p>
    <w:p w:rsidR="007578D3" w:rsidRPr="006C39FB" w:rsidRDefault="007578D3" w:rsidP="006C39FB">
      <w:pPr>
        <w:spacing w:line="240" w:lineRule="auto"/>
        <w:jc w:val="center"/>
        <w:rPr>
          <w:rFonts w:ascii="Times New Roman" w:hAnsi="Times New Roman" w:cs="Times New Roman"/>
          <w:b/>
          <w:color w:val="0000FF"/>
          <w:sz w:val="24"/>
          <w:szCs w:val="24"/>
        </w:rPr>
      </w:pPr>
    </w:p>
    <w:p w:rsidR="007578D3" w:rsidRPr="006C39FB" w:rsidRDefault="007578D3" w:rsidP="006C39FB">
      <w:pPr>
        <w:spacing w:line="240" w:lineRule="auto"/>
        <w:jc w:val="center"/>
        <w:rPr>
          <w:rFonts w:ascii="Times New Roman" w:hAnsi="Times New Roman" w:cs="Times New Roman"/>
          <w:b/>
          <w:color w:val="0000FF"/>
          <w:sz w:val="24"/>
          <w:szCs w:val="24"/>
        </w:rPr>
      </w:pPr>
    </w:p>
    <w:p w:rsidR="007578D3" w:rsidRPr="006C39FB" w:rsidRDefault="005653B7" w:rsidP="006C39FB">
      <w:pPr>
        <w:spacing w:line="240" w:lineRule="auto"/>
        <w:jc w:val="center"/>
        <w:rPr>
          <w:rFonts w:ascii="Times New Roman" w:hAnsi="Times New Roman" w:cs="Times New Roman"/>
          <w:b/>
          <w:color w:val="0000FF"/>
          <w:sz w:val="24"/>
          <w:szCs w:val="24"/>
        </w:rPr>
      </w:pPr>
      <w:bookmarkStart w:id="0" w:name="_GoBack"/>
      <w:proofErr w:type="spellStart"/>
      <w:r>
        <w:rPr>
          <w:rFonts w:ascii="Times New Roman" w:hAnsi="Times New Roman" w:cs="Times New Roman"/>
          <w:b/>
          <w:color w:val="0000FF"/>
          <w:sz w:val="24"/>
          <w:szCs w:val="24"/>
        </w:rPr>
        <w:t>Rakotondraibe</w:t>
      </w:r>
      <w:proofErr w:type="spellEnd"/>
      <w:r>
        <w:rPr>
          <w:rFonts w:ascii="Times New Roman" w:hAnsi="Times New Roman" w:cs="Times New Roman"/>
          <w:b/>
          <w:color w:val="0000FF"/>
          <w:sz w:val="24"/>
          <w:szCs w:val="24"/>
        </w:rPr>
        <w:t xml:space="preserve"> WF, </w:t>
      </w:r>
      <w:proofErr w:type="spellStart"/>
      <w:r>
        <w:rPr>
          <w:rFonts w:ascii="Times New Roman" w:hAnsi="Times New Roman" w:cs="Times New Roman"/>
          <w:b/>
          <w:color w:val="0000FF"/>
          <w:sz w:val="24"/>
          <w:szCs w:val="24"/>
        </w:rPr>
        <w:t>Tsiaremby</w:t>
      </w:r>
      <w:proofErr w:type="spellEnd"/>
      <w:r>
        <w:rPr>
          <w:rFonts w:ascii="Times New Roman" w:hAnsi="Times New Roman" w:cs="Times New Roman"/>
          <w:b/>
          <w:color w:val="0000FF"/>
          <w:sz w:val="24"/>
          <w:szCs w:val="24"/>
        </w:rPr>
        <w:t xml:space="preserve"> MG, </w:t>
      </w:r>
      <w:proofErr w:type="spellStart"/>
      <w:r>
        <w:rPr>
          <w:rFonts w:ascii="Times New Roman" w:hAnsi="Times New Roman" w:cs="Times New Roman"/>
          <w:b/>
          <w:color w:val="0000FF"/>
          <w:sz w:val="24"/>
          <w:szCs w:val="24"/>
        </w:rPr>
        <w:t>Rafidimalala</w:t>
      </w:r>
      <w:proofErr w:type="spellEnd"/>
      <w:r>
        <w:rPr>
          <w:rFonts w:ascii="Times New Roman" w:hAnsi="Times New Roman" w:cs="Times New Roman"/>
          <w:b/>
          <w:color w:val="0000FF"/>
          <w:sz w:val="24"/>
          <w:szCs w:val="24"/>
        </w:rPr>
        <w:t xml:space="preserve"> RA, </w:t>
      </w:r>
      <w:proofErr w:type="spellStart"/>
      <w:r>
        <w:rPr>
          <w:rFonts w:ascii="Times New Roman" w:hAnsi="Times New Roman" w:cs="Times New Roman"/>
          <w:b/>
          <w:color w:val="0000FF"/>
          <w:sz w:val="24"/>
          <w:szCs w:val="24"/>
        </w:rPr>
        <w:t>Rabarijaona</w:t>
      </w:r>
      <w:proofErr w:type="spellEnd"/>
      <w:r>
        <w:rPr>
          <w:rFonts w:ascii="Times New Roman" w:hAnsi="Times New Roman" w:cs="Times New Roman"/>
          <w:b/>
          <w:color w:val="0000FF"/>
          <w:sz w:val="24"/>
          <w:szCs w:val="24"/>
        </w:rPr>
        <w:t xml:space="preserve"> M</w:t>
      </w:r>
    </w:p>
    <w:bookmarkEnd w:id="0"/>
    <w:p w:rsidR="007578D3" w:rsidRPr="006C39FB" w:rsidRDefault="007578D3" w:rsidP="006C39FB">
      <w:pPr>
        <w:spacing w:line="240" w:lineRule="auto"/>
        <w:jc w:val="both"/>
        <w:rPr>
          <w:rFonts w:ascii="Times New Roman" w:hAnsi="Times New Roman" w:cs="Times New Roman"/>
          <w:sz w:val="24"/>
          <w:szCs w:val="24"/>
        </w:rPr>
      </w:pPr>
    </w:p>
    <w:p w:rsidR="007578D3" w:rsidRPr="006C39FB" w:rsidRDefault="00801A11" w:rsidP="006C39F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type id="_x0000_t32" coordsize="21600,21600" o:spt="32" o:oned="t" path="m,l21600,21600e" filled="f">
            <v:path arrowok="t" fillok="f" o:connecttype="none"/>
            <o:lock v:ext="edit" shapetype="t"/>
          </v:shapetype>
          <v:shape id="AutoShape 11" o:spid="_x0000_s1032" type="#_x0000_t32" style="position:absolute;left:0;text-align:left;margin-left:69.55pt;margin-top:8.4pt;width:38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vDrQEAAEEDAAAOAAAAZHJzL2Uyb0RvYy54bWysUs2OEzEMviPxDlHudKarBdFRp3voUi4L&#10;VFp4gDTJzERk4shOO9O3x8m25e+GyMGyY/uz/dnrh3n04mSRHIRWLhe1FDZoMC70rfz2dffmvRSU&#10;VDDKQ7CtPFuSD5vXr9ZTbOwdDOCNRcEggZoptnJIKTZVRXqwo6IFRBvY2QGOKrGJfWVQTYw++uqu&#10;rt9VE6CJCNoS8e/ji1NuCn7XWZ2+dB3ZJHwrubdUJBZ5yLLarFXTo4qD05c21D90MSoXuOgN6lEl&#10;JY7o/oIanUYg6NJCw1hB1zltyww8zbL+Y5rnQUVbZmFyKN5oov8Hqz+ftmGPuXU9h+f4BPo7MSnV&#10;FKm5ObNBcY/iMH0Cw2tUxwRl3rnDMSfzJGIutJ5vtNo5Cc2f96vl/apm9vXVV6nmmhiR0kcLo8hK&#10;Kymhcv2QthACLw9wWcqo0xOl3JZqrgm5aoCd877s0Acx8QGu6rd1ySDwzmRvjiPsD1uP4qTyGfDb&#10;7fLmGe23MIRjMAVtsMp8uOhJOf+ic7wPF24yHfnKqDmAOe8xw2WL91SALzeVD+FXu0T9vPzNDwAA&#10;AP//AwBQSwMEFAAGAAgAAAAhAApSJ2rdAAAADgEAAA8AAABkcnMvZG93bnJldi54bWxMT8FOwzAM&#10;vSPxD5GRuLG0K5pY13QCKu50A3b1mqzpaJyqybby9xhxgItlPz8/v1esJ9eLsxlD50lBOktAGGq8&#10;7qhV8LZ9uXsAESKSxt6TUfBlAqzL66sCc+0vVJvzJraCRSjkqMDGOORShsYah2HmB0O8O/jRYeRx&#10;bKUe8cLirpfzJFlIhx3xB4uDebam+dycnIJ3rI4fdXZf7aiey/FV2vrYPil1ezNVKy6PKxDRTPHv&#10;An4ysH8o2djen0gH0fOcLVOmcrPgHExYphkD+19AloX8H6P8BgAA//8DAFBLAQItABQABgAIAAAA&#10;IQC2gziS/gAAAOEBAAATAAAAAAAAAAAAAAAAAAAAAABbQ29udGVudF9UeXBlc10ueG1sUEsBAi0A&#10;FAAGAAgAAAAhADj9If/WAAAAlAEAAAsAAAAAAAAAAAAAAAAALwEAAF9yZWxzLy5yZWxzUEsBAi0A&#10;FAAGAAgAAAAhAJQum8OtAQAAQQMAAA4AAAAAAAAAAAAAAAAALgIAAGRycy9lMm9Eb2MueG1sUEsB&#10;Ai0AFAAGAAgAAAAhAApSJ2rdAAAADgEAAA8AAAAAAAAAAAAAAAAABwQAAGRycy9kb3ducmV2Lnht&#10;bFBLBQYAAAAABAAEAPMAAAARBQAAAABjeTlrYjNkdWNtVjJMbmh0DQ0KYg==&#10;" strokecolor="blue" strokeweight="1.5pt">
            <o:lock v:ext="edit" shapetype="f"/>
          </v:shape>
        </w:pict>
      </w:r>
      <w:r w:rsidR="007578D3" w:rsidRPr="006C39FB">
        <w:rPr>
          <w:rFonts w:ascii="Times New Roman" w:hAnsi="Times New Roman" w:cs="Times New Roman"/>
          <w:b/>
          <w:color w:val="0000FF"/>
          <w:sz w:val="24"/>
          <w:szCs w:val="24"/>
        </w:rPr>
        <w:t xml:space="preserve">Introduction </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 xml:space="preserve">L’hydrocéphalie à pression normale (HPN), décrite initialement par Hakim et Adams, constitue une entité clinique particulière associant une triade symptomatique faite de troubles de la marche, de déclin cognitif et d’incontinence urinaire, survenant chez le sujet âgé, en présence d’une </w:t>
      </w:r>
      <w:proofErr w:type="spellStart"/>
      <w:r w:rsidRPr="006C39FB">
        <w:rPr>
          <w:rFonts w:ascii="Times New Roman" w:hAnsi="Times New Roman" w:cs="Times New Roman"/>
          <w:sz w:val="24"/>
          <w:szCs w:val="24"/>
        </w:rPr>
        <w:t>ventriculomégalie</w:t>
      </w:r>
      <w:proofErr w:type="spellEnd"/>
      <w:r w:rsidRPr="006C39FB">
        <w:rPr>
          <w:rFonts w:ascii="Times New Roman" w:hAnsi="Times New Roman" w:cs="Times New Roman"/>
          <w:sz w:val="24"/>
          <w:szCs w:val="24"/>
        </w:rPr>
        <w:t xml:space="preserve"> avec pression du liquide céphalorachidien (LCR) normale (1,2).</w:t>
      </w:r>
      <w:r w:rsidRPr="006C39FB">
        <w:rPr>
          <w:rFonts w:ascii="Times New Roman" w:hAnsi="Times New Roman" w:cs="Times New Roman"/>
          <w:sz w:val="24"/>
          <w:szCs w:val="24"/>
        </w:rPr>
        <w:br/>
        <w:t>Sa reconnaissance revêt un enjeu majeur de santé publique, car elle représente l’une des rares causes de démence potentiellement réversible chez la personne âgée (3).</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 xml:space="preserve">Malgré l’existence de recommandations internationales et de critères diagnostiques validés, </w:t>
      </w:r>
      <w:proofErr w:type="gramStart"/>
      <w:r w:rsidRPr="006C39FB">
        <w:rPr>
          <w:rFonts w:ascii="Times New Roman" w:hAnsi="Times New Roman" w:cs="Times New Roman"/>
          <w:sz w:val="24"/>
          <w:szCs w:val="24"/>
        </w:rPr>
        <w:t>l’HPN</w:t>
      </w:r>
      <w:proofErr w:type="gramEnd"/>
      <w:r w:rsidRPr="006C39FB">
        <w:rPr>
          <w:rFonts w:ascii="Times New Roman" w:hAnsi="Times New Roman" w:cs="Times New Roman"/>
          <w:sz w:val="24"/>
          <w:szCs w:val="24"/>
        </w:rPr>
        <w:t xml:space="preserve"> demeure largement sous-diagnostiquée, en particulier dans les pays à revenu faible ou intermédiaire (4). Le caractère insidieux des symptômes, leur chevauchement avec les maladies neurodégénératives (maladie d’Alzheimer, Parkinson, démence vasculaire), ainsi que les limites d’accès à l’imagerie avancée expliquent en grande partie ces difficultés (5,6).</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À Madagascar, les données sur l’HPN sont rares. Le contexte socio-économique, la disponibilité limitée de l’IRM et la faible sensibilisation des professionnels de santé contribuent à des retards diagnostiques significatifs. Cette étude vise à analyser les difficultés diagnostiques de l’HPN à Mahajanga et à décrire les caractéristiques cliniques et évolutives des patients pris en charge au CHU PZAGA.</w:t>
      </w:r>
    </w:p>
    <w:p w:rsidR="007578D3" w:rsidRPr="006C39FB" w:rsidRDefault="00801A11" w:rsidP="006C39FB">
      <w:pPr>
        <w:spacing w:line="240" w:lineRule="auto"/>
        <w:rPr>
          <w:rFonts w:ascii="Times New Roman" w:hAnsi="Times New Roman" w:cs="Times New Roman"/>
          <w:b/>
          <w:color w:val="0000FF"/>
          <w:sz w:val="24"/>
          <w:szCs w:val="24"/>
        </w:rPr>
        <w:sectPr w:rsidR="007578D3" w:rsidRPr="006C39FB" w:rsidSect="007578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r>
        <w:rPr>
          <w:rFonts w:ascii="Times New Roman" w:hAnsi="Times New Roman" w:cs="Times New Roman"/>
          <w:b/>
          <w:noProof/>
          <w:color w:val="0000FF"/>
          <w:sz w:val="24"/>
          <w:szCs w:val="24"/>
        </w:rPr>
        <w:pict>
          <v:shape id="AutoShape 13" o:spid="_x0000_s1031" type="#_x0000_t32" style="position:absolute;margin-left:111pt;margin-top:8.35pt;width:338.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sidRPr="006C39FB">
        <w:rPr>
          <w:rFonts w:ascii="Times New Roman" w:hAnsi="Times New Roman" w:cs="Times New Roman"/>
          <w:b/>
          <w:color w:val="0000FF"/>
          <w:sz w:val="24"/>
          <w:szCs w:val="24"/>
        </w:rPr>
        <w:t>Patients et méthode</w:t>
      </w:r>
    </w:p>
    <w:p w:rsidR="006C39FB" w:rsidRPr="006C39FB" w:rsidRDefault="006C39FB" w:rsidP="006C39FB">
      <w:pPr>
        <w:pStyle w:val="NormalWeb"/>
        <w:jc w:val="both"/>
      </w:pPr>
      <w:r w:rsidRPr="006C39FB">
        <w:lastRenderedPageBreak/>
        <w:t xml:space="preserve">Il s’agissait d’une étude observationnelle, transversale, descriptive et analytique menée au service de neurochirurgie du CHU Professeur </w:t>
      </w:r>
      <w:proofErr w:type="spellStart"/>
      <w:r w:rsidRPr="006C39FB">
        <w:t>Zafisaona</w:t>
      </w:r>
      <w:proofErr w:type="spellEnd"/>
      <w:r w:rsidRPr="006C39FB">
        <w:t xml:space="preserve"> Gabriel de Mahajanga.</w:t>
      </w:r>
      <w:r w:rsidRPr="006C39FB">
        <w:br/>
        <w:t xml:space="preserve">La population d’étude comprenait des patients âgés de 50 ans et plus, présentant des troubles de la marche, cognitifs et/ou sphinctériens évocateurs d’hydrocéphalie à pression normale, associés à une </w:t>
      </w:r>
      <w:proofErr w:type="spellStart"/>
      <w:r w:rsidRPr="006C39FB">
        <w:lastRenderedPageBreak/>
        <w:t>ventriculomégalie</w:t>
      </w:r>
      <w:proofErr w:type="spellEnd"/>
      <w:r w:rsidRPr="006C39FB">
        <w:t xml:space="preserve"> à l’imagerie (indice d’Evans &gt; 0,3).</w:t>
      </w:r>
    </w:p>
    <w:p w:rsidR="007578D3" w:rsidRPr="006C39FB" w:rsidRDefault="006C39FB" w:rsidP="006C39FB">
      <w:pPr>
        <w:pStyle w:val="NormalWeb"/>
        <w:jc w:val="both"/>
      </w:pPr>
      <w:r w:rsidRPr="006C39FB">
        <w:t xml:space="preserve">Les patients ayant une hydrocéphalie secondaire, une pathologie neurologique confondante ou un dossier incomplet ont été exclus. Le diagnostic d’HPN probable reposait sur les critères de Hakim et Adams adaptés aux recommandations internationales. La difficulté diagnostique était évaluée par le retard au diagnostic, </w:t>
      </w:r>
      <w:r w:rsidRPr="006C39FB">
        <w:lastRenderedPageBreak/>
        <w:t xml:space="preserve">l’échec du diagnostic initial ou une discordance </w:t>
      </w:r>
      <w:proofErr w:type="spellStart"/>
      <w:r w:rsidRPr="006C39FB">
        <w:t>clinico</w:t>
      </w:r>
      <w:proofErr w:type="spellEnd"/>
      <w:r w:rsidRPr="006C39FB">
        <w:t>-radiologique.</w:t>
      </w:r>
      <w:r w:rsidRPr="006C39FB">
        <w:br/>
        <w:t xml:space="preserve">Les données ont été collectées à partir des </w:t>
      </w:r>
      <w:r w:rsidRPr="006C39FB">
        <w:lastRenderedPageBreak/>
        <w:t>dossiers médicaux, analysées avec Epi Info, dans le respect strict des principes éthiques de la Déclaration d’Helsinki.</w:t>
      </w:r>
    </w:p>
    <w:p w:rsidR="006C39FB" w:rsidRPr="006C39FB" w:rsidRDefault="006C39FB" w:rsidP="006C39FB">
      <w:pPr>
        <w:spacing w:line="240" w:lineRule="auto"/>
        <w:rPr>
          <w:rFonts w:ascii="Times New Roman" w:hAnsi="Times New Roman" w:cs="Times New Roman"/>
          <w:b/>
          <w:color w:val="0000FF"/>
          <w:sz w:val="24"/>
          <w:szCs w:val="24"/>
        </w:rPr>
        <w:sectPr w:rsidR="006C39FB" w:rsidRPr="006C39FB" w:rsidSect="006C39F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418" w:left="1418" w:header="709" w:footer="709" w:gutter="0"/>
          <w:pgNumType w:start="450"/>
          <w:cols w:num="2" w:space="708"/>
          <w:docGrid w:linePitch="360"/>
        </w:sectPr>
      </w:pPr>
    </w:p>
    <w:p w:rsidR="007578D3" w:rsidRPr="006C39FB" w:rsidRDefault="00801A11" w:rsidP="006C39FB">
      <w:pPr>
        <w:spacing w:line="240" w:lineRule="auto"/>
        <w:rPr>
          <w:rFonts w:ascii="Times New Roman" w:hAnsi="Times New Roman" w:cs="Times New Roman"/>
          <w:b/>
          <w:color w:val="0000FF"/>
          <w:sz w:val="24"/>
          <w:szCs w:val="24"/>
        </w:rPr>
        <w:sectPr w:rsidR="007578D3" w:rsidRPr="006C39FB" w:rsidSect="007578D3">
          <w:type w:val="continuous"/>
          <w:pgSz w:w="11906" w:h="16838"/>
          <w:pgMar w:top="1418" w:right="1418" w:bottom="1418" w:left="1418" w:header="709" w:footer="709" w:gutter="0"/>
          <w:pgNumType w:start="450"/>
          <w:cols w:space="708"/>
          <w:docGrid w:linePitch="360"/>
        </w:sectPr>
      </w:pPr>
      <w:r>
        <w:rPr>
          <w:rFonts w:ascii="Times New Roman" w:hAnsi="Times New Roman" w:cs="Times New Roman"/>
          <w:b/>
          <w:noProof/>
          <w:color w:val="0000FF"/>
          <w:sz w:val="24"/>
          <w:szCs w:val="24"/>
        </w:rPr>
        <w:lastRenderedPageBreak/>
        <w:pict>
          <v:shape id="_x0000_s1030" type="#_x0000_t32" style="position:absolute;margin-left:111pt;margin-top:8.35pt;width:338.2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sidRPr="006C39FB">
        <w:rPr>
          <w:rFonts w:ascii="Times New Roman" w:hAnsi="Times New Roman" w:cs="Times New Roman"/>
          <w:b/>
          <w:color w:val="0000FF"/>
          <w:sz w:val="24"/>
          <w:szCs w:val="24"/>
        </w:rPr>
        <w:t>Résultats</w:t>
      </w:r>
    </w:p>
    <w:p w:rsidR="006C39FB" w:rsidRPr="006C39FB" w:rsidRDefault="006C39FB" w:rsidP="006C39FB">
      <w:pPr>
        <w:spacing w:before="100" w:beforeAutospacing="1" w:after="100" w:afterAutospacing="1" w:line="240" w:lineRule="auto"/>
        <w:jc w:val="both"/>
        <w:outlineLvl w:val="2"/>
        <w:rPr>
          <w:rFonts w:ascii="Times New Roman" w:hAnsi="Times New Roman" w:cs="Times New Roman"/>
          <w:b/>
          <w:bCs/>
          <w:sz w:val="24"/>
          <w:szCs w:val="24"/>
        </w:rPr>
      </w:pPr>
      <w:r w:rsidRPr="006C39FB">
        <w:rPr>
          <w:rFonts w:ascii="Times New Roman" w:hAnsi="Times New Roman" w:cs="Times New Roman"/>
          <w:b/>
          <w:bCs/>
          <w:sz w:val="24"/>
          <w:szCs w:val="24"/>
        </w:rPr>
        <w:lastRenderedPageBreak/>
        <w:t>Caractéristiques épidémiologiques</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L’âge moyen était de 71,9 ± 8 ans (61–92 ans), avec une prédominance masculine (62,5%). La majorité des patients provenaient de Mahajanga-I (33,3%), reflétant l’accessibilité géographique au centre de référence.</w:t>
      </w:r>
    </w:p>
    <w:p w:rsidR="006C39FB" w:rsidRPr="006C39FB" w:rsidRDefault="006C39FB" w:rsidP="006C39FB">
      <w:pPr>
        <w:spacing w:before="100" w:beforeAutospacing="1" w:after="100" w:afterAutospacing="1" w:line="240" w:lineRule="auto"/>
        <w:jc w:val="both"/>
        <w:outlineLvl w:val="2"/>
        <w:rPr>
          <w:rFonts w:ascii="Times New Roman" w:hAnsi="Times New Roman" w:cs="Times New Roman"/>
          <w:b/>
          <w:bCs/>
          <w:sz w:val="24"/>
          <w:szCs w:val="24"/>
        </w:rPr>
      </w:pPr>
      <w:r w:rsidRPr="006C39FB">
        <w:rPr>
          <w:rFonts w:ascii="Times New Roman" w:hAnsi="Times New Roman" w:cs="Times New Roman"/>
          <w:b/>
          <w:bCs/>
          <w:sz w:val="24"/>
          <w:szCs w:val="24"/>
        </w:rPr>
        <w:t>Données cliniques</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Le trouble de la marche était constant (100%), suivi des troubles cognitifs (75%) et de l’incontinence urinaire (45,8%). Le délai diagnostique moyen atteignait 16,9 mois, avec des extrêmes allant jusqu’à 72 mois.</w:t>
      </w:r>
    </w:p>
    <w:p w:rsidR="006C39FB" w:rsidRPr="006C39FB" w:rsidRDefault="006C39FB" w:rsidP="006C39FB">
      <w:pPr>
        <w:spacing w:before="100" w:beforeAutospacing="1" w:after="100" w:afterAutospacing="1" w:line="240" w:lineRule="auto"/>
        <w:jc w:val="both"/>
        <w:outlineLvl w:val="2"/>
        <w:rPr>
          <w:rFonts w:ascii="Times New Roman" w:hAnsi="Times New Roman" w:cs="Times New Roman"/>
          <w:b/>
          <w:bCs/>
          <w:sz w:val="24"/>
          <w:szCs w:val="24"/>
        </w:rPr>
      </w:pPr>
      <w:r w:rsidRPr="006C39FB">
        <w:rPr>
          <w:rFonts w:ascii="Times New Roman" w:hAnsi="Times New Roman" w:cs="Times New Roman"/>
          <w:b/>
          <w:bCs/>
          <w:sz w:val="24"/>
          <w:szCs w:val="24"/>
        </w:rPr>
        <w:t>Données paracliniques</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 xml:space="preserve">La tomodensitométrie était réalisée chez tous les patients. L’IRM n’était disponible que dans 12,5% des cas. Les signes </w:t>
      </w:r>
      <w:r w:rsidRPr="006C39FB">
        <w:rPr>
          <w:rFonts w:ascii="Times New Roman" w:hAnsi="Times New Roman" w:cs="Times New Roman"/>
          <w:sz w:val="24"/>
          <w:szCs w:val="24"/>
        </w:rPr>
        <w:lastRenderedPageBreak/>
        <w:t xml:space="preserve">radiologiques constants étaient la dilatation ventriculaire, un indice d’Evans &gt;0,4 et une distension de la vallée </w:t>
      </w:r>
      <w:proofErr w:type="spellStart"/>
      <w:r w:rsidRPr="006C39FB">
        <w:rPr>
          <w:rFonts w:ascii="Times New Roman" w:hAnsi="Times New Roman" w:cs="Times New Roman"/>
          <w:sz w:val="24"/>
          <w:szCs w:val="24"/>
        </w:rPr>
        <w:t>sylvienne</w:t>
      </w:r>
      <w:proofErr w:type="spellEnd"/>
      <w:r w:rsidRPr="006C39FB">
        <w:rPr>
          <w:rFonts w:ascii="Times New Roman" w:hAnsi="Times New Roman" w:cs="Times New Roman"/>
          <w:sz w:val="24"/>
          <w:szCs w:val="24"/>
        </w:rPr>
        <w:t>.</w:t>
      </w:r>
    </w:p>
    <w:p w:rsidR="006C39FB" w:rsidRPr="006C39FB" w:rsidRDefault="006C39FB" w:rsidP="006C39FB">
      <w:pPr>
        <w:spacing w:before="100" w:beforeAutospacing="1" w:after="100" w:afterAutospacing="1" w:line="240" w:lineRule="auto"/>
        <w:jc w:val="both"/>
        <w:outlineLvl w:val="2"/>
        <w:rPr>
          <w:rFonts w:ascii="Times New Roman" w:hAnsi="Times New Roman" w:cs="Times New Roman"/>
          <w:b/>
          <w:bCs/>
          <w:sz w:val="24"/>
          <w:szCs w:val="24"/>
        </w:rPr>
      </w:pPr>
      <w:r w:rsidRPr="006C39FB">
        <w:rPr>
          <w:rFonts w:ascii="Times New Roman" w:hAnsi="Times New Roman" w:cs="Times New Roman"/>
          <w:b/>
          <w:bCs/>
          <w:sz w:val="24"/>
          <w:szCs w:val="24"/>
        </w:rPr>
        <w:t>Test de ponction lombaire</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Une amélioration clinique après ponction lombaire était observée chez 91,7% des patients, principalement sur la marche et la continence, avec une amélioration significative des scores MMSE.</w:t>
      </w:r>
    </w:p>
    <w:p w:rsidR="006C39FB" w:rsidRPr="006C39FB" w:rsidRDefault="006C39FB" w:rsidP="006C39FB">
      <w:pPr>
        <w:spacing w:before="100" w:beforeAutospacing="1" w:after="100" w:afterAutospacing="1" w:line="240" w:lineRule="auto"/>
        <w:jc w:val="both"/>
        <w:outlineLvl w:val="2"/>
        <w:rPr>
          <w:rFonts w:ascii="Times New Roman" w:hAnsi="Times New Roman" w:cs="Times New Roman"/>
          <w:b/>
          <w:bCs/>
          <w:sz w:val="24"/>
          <w:szCs w:val="24"/>
        </w:rPr>
      </w:pPr>
      <w:r w:rsidRPr="006C39FB">
        <w:rPr>
          <w:rFonts w:ascii="Times New Roman" w:hAnsi="Times New Roman" w:cs="Times New Roman"/>
          <w:b/>
          <w:bCs/>
          <w:sz w:val="24"/>
          <w:szCs w:val="24"/>
        </w:rPr>
        <w:t>Prise en charge et évolution</w:t>
      </w:r>
    </w:p>
    <w:p w:rsidR="006C39FB" w:rsidRPr="006C39FB"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 xml:space="preserve">Une prise en charge chirurgicale a été réalisée chez 62,5% des patients, majoritairement par dérivation </w:t>
      </w:r>
      <w:proofErr w:type="spellStart"/>
      <w:r w:rsidRPr="006C39FB">
        <w:rPr>
          <w:rFonts w:ascii="Times New Roman" w:hAnsi="Times New Roman" w:cs="Times New Roman"/>
          <w:sz w:val="24"/>
          <w:szCs w:val="24"/>
        </w:rPr>
        <w:t>ventriculo</w:t>
      </w:r>
      <w:proofErr w:type="spellEnd"/>
      <w:r w:rsidRPr="006C39FB">
        <w:rPr>
          <w:rFonts w:ascii="Times New Roman" w:hAnsi="Times New Roman" w:cs="Times New Roman"/>
          <w:sz w:val="24"/>
          <w:szCs w:val="24"/>
        </w:rPr>
        <w:t>-péritonéale. L’évolution post-opératoire était favorable dans plus de 90% des cas, avec une amélioration significative ou modérée.</w:t>
      </w:r>
    </w:p>
    <w:p w:rsidR="007578D3" w:rsidRPr="006C39FB" w:rsidRDefault="007578D3" w:rsidP="006C39FB">
      <w:pPr>
        <w:pStyle w:val="Paragraphedeliste"/>
        <w:spacing w:line="240" w:lineRule="auto"/>
        <w:ind w:left="0"/>
        <w:jc w:val="both"/>
        <w:rPr>
          <w:rFonts w:ascii="Times New Roman" w:hAnsi="Times New Roman" w:cs="Times New Roman"/>
          <w:sz w:val="24"/>
          <w:szCs w:val="24"/>
        </w:rPr>
      </w:pPr>
    </w:p>
    <w:p w:rsidR="007578D3" w:rsidRPr="006C39FB" w:rsidRDefault="007578D3" w:rsidP="006C39FB">
      <w:pPr>
        <w:spacing w:line="240" w:lineRule="auto"/>
        <w:jc w:val="both"/>
        <w:rPr>
          <w:rFonts w:ascii="Times New Roman" w:hAnsi="Times New Roman" w:cs="Times New Roman"/>
          <w:b/>
          <w:color w:val="0000FF"/>
          <w:sz w:val="24"/>
          <w:szCs w:val="24"/>
        </w:rPr>
        <w:sectPr w:rsidR="007578D3" w:rsidRPr="006C39FB" w:rsidSect="007578D3">
          <w:type w:val="continuous"/>
          <w:pgSz w:w="11906" w:h="16838"/>
          <w:pgMar w:top="1417" w:right="1417" w:bottom="1417" w:left="1417" w:header="708" w:footer="708" w:gutter="0"/>
          <w:cols w:num="2" w:space="708"/>
          <w:docGrid w:linePitch="360"/>
        </w:sectPr>
      </w:pPr>
    </w:p>
    <w:p w:rsidR="007578D3" w:rsidRPr="006C39FB" w:rsidRDefault="00801A11" w:rsidP="006C39FB">
      <w:pPr>
        <w:spacing w:line="240" w:lineRule="auto"/>
        <w:jc w:val="both"/>
        <w:rPr>
          <w:rFonts w:ascii="Times New Roman" w:hAnsi="Times New Roman" w:cs="Times New Roman"/>
          <w:b/>
          <w:color w:val="0000FF"/>
          <w:sz w:val="24"/>
          <w:szCs w:val="24"/>
        </w:rPr>
        <w:sectPr w:rsidR="007578D3" w:rsidRPr="006C39FB" w:rsidSect="007578D3">
          <w:type w:val="continuous"/>
          <w:pgSz w:w="11906" w:h="16838"/>
          <w:pgMar w:top="1417" w:right="1417" w:bottom="1417" w:left="1417" w:header="708" w:footer="708" w:gutter="0"/>
          <w:cols w:space="708"/>
          <w:docGrid w:linePitch="360"/>
        </w:sectPr>
      </w:pPr>
      <w:r>
        <w:rPr>
          <w:rFonts w:ascii="Times New Roman" w:hAnsi="Times New Roman" w:cs="Times New Roman"/>
          <w:b/>
          <w:noProof/>
          <w:color w:val="0000FF"/>
          <w:sz w:val="24"/>
          <w:szCs w:val="24"/>
        </w:rPr>
        <w:lastRenderedPageBreak/>
        <w:pict>
          <v:shape id="AutoShape 15" o:spid="_x0000_s1029" type="#_x0000_t32" style="position:absolute;left:0;text-align:left;margin-left:58.15pt;margin-top:9.15pt;width:398.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HrQEAAEEDAAAOAAAAZHJzL2Uyb0RvYy54bWysUs1u2zAMvg/YOwi6L3YKpGiNOD2kyy7d&#10;FqDrAzCSbAuTRYFU4uTtJ6lJup/bUB0IUiQ/kh+5fDiOThwMsUXfyvmslsJ4hdr6vpUvPzaf7qTg&#10;CF6DQ29aeTIsH1YfPyyn0JgbHNBpQyKBeG6m0MohxtBUFavBjMAzDMYnZ4c0Qkwm9ZUmmBL66Kqb&#10;ur6tJiQdCJVhTr+Pr065KvhdZ1T83nVsonCtTL3FIqnIXZbVaglNTxAGq85twH90MYL1qegV6hEi&#10;iD3Zf6BGqwgZuzhTOFbYdVaZMkOaZl7/Nc3zAMGUWRI5HK408fvBqm+Htd9Sbl0d/XN4QvWTEynV&#10;FLi5OrPBYUtiN31FndYI+4hl3mNHY05Ok4hjofV0pdUco1Dpc1Ev7m/vEvvq4quguSQG4vjF4Ciy&#10;0kqOBLYf4hq9T8tDmpcycHjimNuC5pKQq3rcWOfKDp0XUzrA+3pRlwxGZ3X25jimfrd2JA6QzyC9&#10;zSZvPqH9EUa497qgDQb057MewbpXPcU7f+Ym05GvjJsd6tOWMly20p4K8Pmm8iH8bpeot8tf/QIA&#10;AP//AwBQSwMEFAAGAAgAAAAhAAxYKc7dAAAADgEAAA8AAABkcnMvZG93bnJldi54bWxMT01PwzAM&#10;vSPxHyIjcWNpVzRtXdMJqLjTDdg1a0zT0ThVk23l32PEAS62nz+e3ys2k+vFGcfQeVKQzhIQSI03&#10;HbUKXnfPd0sQIWoyuveECr4wwKa8vip0bvyFajxvYyuYhEKuFdgYh1zK0Fh0Osz8gMSzDz86HRmO&#10;rTSjvjC56+U8SRbS6Y74g9UDPllsPrcnp+BNV8f3Oruv9lTP5fgibX1sH5W6vZmqNYeHNYiIU/y7&#10;gB8PrB9KFnbwJzJB9IzTRcarXCw588IqzVIQh9+GLAv530b5DQAA//8DAFBLAQItABQABgAIAAAA&#10;IQC2gziS/gAAAOEBAAATAAAAAAAAAAAAAAAAAAAAAABbQ29udGVudF9UeXBlc10ueG1sUEsBAi0A&#10;FAAGAAgAAAAhADj9If/WAAAAlAEAAAsAAAAAAAAAAAAAAAAALwEAAF9yZWxzLy5yZWxzUEsBAi0A&#10;FAAGAAgAAAAhAIjP7MetAQAAQQMAAA4AAAAAAAAAAAAAAAAALgIAAGRycy9lMm9Eb2MueG1sUEsB&#10;Ai0AFAAGAAgAAAAhAAxYKc7dAAAADgEAAA8AAAAAAAAAAAAAAAAABwQAAGRycy9kb3ducmV2Lnht&#10;bFBLBQYAAAAABAAEAPMAAAARBQAAAABjeTlrYjNkdWNtVjJMbmh0DQ0KYg==&#10;" strokecolor="blue" strokeweight="1.5pt">
            <o:lock v:ext="edit" shapetype="f"/>
          </v:shape>
        </w:pict>
      </w:r>
      <w:r w:rsidR="007578D3" w:rsidRPr="006C39FB">
        <w:rPr>
          <w:rFonts w:ascii="Times New Roman" w:hAnsi="Times New Roman" w:cs="Times New Roman"/>
          <w:b/>
          <w:color w:val="0000FF"/>
          <w:sz w:val="24"/>
          <w:szCs w:val="24"/>
        </w:rPr>
        <w:t>Discussion</w:t>
      </w:r>
    </w:p>
    <w:p w:rsidR="007578D3" w:rsidRPr="006C39FB" w:rsidRDefault="007578D3" w:rsidP="006C39FB">
      <w:pPr>
        <w:spacing w:line="240" w:lineRule="auto"/>
        <w:jc w:val="both"/>
        <w:rPr>
          <w:rFonts w:ascii="Times New Roman" w:hAnsi="Times New Roman" w:cs="Times New Roman"/>
          <w:b/>
          <w:sz w:val="24"/>
          <w:szCs w:val="24"/>
        </w:rPr>
        <w:sectPr w:rsidR="007578D3" w:rsidRPr="006C39FB" w:rsidSect="007578D3">
          <w:type w:val="continuous"/>
          <w:pgSz w:w="11906" w:h="16838"/>
          <w:pgMar w:top="1417" w:right="1417" w:bottom="1417" w:left="1417" w:header="708" w:footer="708" w:gutter="0"/>
          <w:cols w:num="2" w:space="708"/>
          <w:docGrid w:linePitch="360"/>
        </w:sectPr>
      </w:pPr>
    </w:p>
    <w:p w:rsidR="006C39FB" w:rsidRPr="006C39FB" w:rsidRDefault="006C39FB" w:rsidP="006C39FB">
      <w:pPr>
        <w:pStyle w:val="NormalWeb"/>
        <w:ind w:firstLine="708"/>
        <w:jc w:val="both"/>
      </w:pPr>
      <w:r w:rsidRPr="006C39FB">
        <w:lastRenderedPageBreak/>
        <w:t>La présente étude confirme que l’hydrocéphalie à pression normale (HPN) est une pathologie du sujet âgé, avec une moyenne d’âge située au-delà de la septième décennie. Ce profil épidémiologique est superposable à celui rapporté dans plusieurs séries africaines et internationales, où l’âge moyen au diagnostic varie généralement entre 68 et 75 ans (7–10). Cette concordance suggère que, malgré des contextes socio-économiques et sanitaires différents, l’histoire naturelle de l’HPN demeure comparable, caractérisée par une expression clinique tardive et une progression insidieuse.</w:t>
      </w:r>
    </w:p>
    <w:p w:rsidR="006C39FB" w:rsidRPr="006C39FB" w:rsidRDefault="006C39FB" w:rsidP="006C39FB">
      <w:pPr>
        <w:pStyle w:val="NormalWeb"/>
        <w:jc w:val="both"/>
      </w:pPr>
      <w:r w:rsidRPr="006C39FB">
        <w:lastRenderedPageBreak/>
        <w:t>La prédominance masculine observée dans notre série est conforme à la majorité des études hospitalières, notamment en Afrique subsaharienne, où les hommes représentent entre 55 et 70 % des cas rapportés (8,9,11). Toutefois, les études populationnelles tendent à montrer une prévalence globale relativement similaire entre les genres, suggérant que cette disparité pourrait davantage refléter des biais d’accès aux soins ou de recours hospitalier que de réelles différences biologiques (2). Dans notre contexte, ces inégalités pourraient être accentuées par des facteurs socioculturels influençant la consultation médicale chez les sujets âgés.</w:t>
      </w:r>
    </w:p>
    <w:p w:rsidR="006C39FB" w:rsidRPr="006C39FB" w:rsidRDefault="006C39FB" w:rsidP="006C39FB">
      <w:pPr>
        <w:pStyle w:val="NormalWeb"/>
        <w:jc w:val="both"/>
      </w:pPr>
      <w:r w:rsidRPr="006C39FB">
        <w:lastRenderedPageBreak/>
        <w:t>Le délai diagnostique particulièrement prolongé observé dans notre série, avec une moyenne dépassant 16 mois, constitue un élément central de la discussion. Ce retard diagnostique est fréquemment rapporté dans les pays à ressources limitées et s’explique par plusieurs facteurs convergents. D’une part, la triade clinique classique de l’HPN est rarement complète au stade initial, ce qui favorise une confusion diagnostique avec les pathologies neurodégénératives, en particulier la maladie d’Alzheimer ou les syndromes parkinsoniens (11,12). D’autre part, l’accès limité à l’imagerie par résonance magnétique (IRM), pourtant essentielle pour l’identification de signes morphologiques spécifiques tels que le DESH (</w:t>
      </w:r>
      <w:proofErr w:type="spellStart"/>
      <w:r w:rsidRPr="006C39FB">
        <w:t>DisproportionatelyEnlargedSubarachnoidSpaceHydrocephalus</w:t>
      </w:r>
      <w:proofErr w:type="spellEnd"/>
      <w:r w:rsidRPr="006C39FB">
        <w:t>), constitue une contrainte majeure dans de nombreux centres africains (13).</w:t>
      </w:r>
    </w:p>
    <w:p w:rsidR="006C39FB" w:rsidRPr="006C39FB" w:rsidRDefault="006C39FB" w:rsidP="006C39FB">
      <w:pPr>
        <w:pStyle w:val="NormalWeb"/>
        <w:jc w:val="both"/>
      </w:pPr>
      <w:r w:rsidRPr="006C39FB">
        <w:t xml:space="preserve">Dans ce contexte, la ponction lombaire évacuatrice apparaît comme un outil diagnostique et pronostique de premier plan. Le taux élevé d’amélioration clinique observé après ponction lombaire dans notre étude confirme sa forte valeur prédictive de réponse au traitement chirurgical, en particulier sur les troubles de la marche. Ces résultats sont en accord avec les recommandations internationales, qui reconnaissent le test de ponction lombaire comme une étape clé dans la sélection des patients candidats à la dérivation, notamment dans les environnements où les explorations complémentaires avancées sont peu accessibles (14,15). Ainsi, la </w:t>
      </w:r>
      <w:r w:rsidRPr="006C39FB">
        <w:lastRenderedPageBreak/>
        <w:t>ponction lombaire constitue une alternative pragmatique et fiable pour optimiser la prise de décision thérapeutique.</w:t>
      </w:r>
    </w:p>
    <w:p w:rsidR="006C39FB" w:rsidRPr="006C39FB" w:rsidRDefault="006C39FB" w:rsidP="006C39FB">
      <w:pPr>
        <w:pStyle w:val="NormalWeb"/>
        <w:jc w:val="both"/>
      </w:pPr>
      <w:r w:rsidRPr="006C39FB">
        <w:t xml:space="preserve">Les excellents résultats postopératoires observés après dérivation </w:t>
      </w:r>
      <w:proofErr w:type="spellStart"/>
      <w:r w:rsidRPr="006C39FB">
        <w:t>ventriculo</w:t>
      </w:r>
      <w:proofErr w:type="spellEnd"/>
      <w:r w:rsidRPr="006C39FB">
        <w:t>-péritonéale, avec une amélioration clinique significative chez plus de 90 % des patients opérés, soulignent l’efficacité de la prise en charge chirurgicale lorsqu’elle est correctement indiquée. Ces données rejoignent celles de grandes méta-analyses et séries internationales, qui rapportent des taux d’amélioration allant de 70 à 90 %, avec une réponse particulièrement marquée sur les troubles de la marche (16–18). Elles renforcent l’idée selon laquelle l’HPN représente l’une des rares causes potentiellement réversibles de démence chez le sujet âgé, à condition que le diagnostic soit posé précocement et que les patients soient sélectionnés de manière rigoureuse.</w:t>
      </w:r>
    </w:p>
    <w:p w:rsidR="006C39FB" w:rsidRPr="006C39FB" w:rsidRDefault="006C39FB" w:rsidP="006C39FB">
      <w:pPr>
        <w:pStyle w:val="NormalWeb"/>
        <w:jc w:val="both"/>
      </w:pPr>
      <w:r w:rsidRPr="006C39FB">
        <w:t>En définitive, cette étude met en lumière les enjeux spécifiques de l’HPN en milieu à ressources limitées, où le retard diagnostique demeure fréquent mais où des outils simples, tels que la ponction lombaire, permettent néanmoins d’identifier efficacement les patients susceptibles de bénéficier d’un traitement chirurgical. Le renforcement de la sensibilisation des cliniciens à cette pathologie et l’amélioration de l’accès à l’imagerie avancée pourraient contribuer de manière significative à réduire les délais diagnostiques et à améliorer le pronostic fonctionnel des patients.</w:t>
      </w:r>
    </w:p>
    <w:p w:rsidR="006C39FB" w:rsidRPr="006C39FB" w:rsidRDefault="006C39FB" w:rsidP="006C39FB">
      <w:pPr>
        <w:spacing w:line="240" w:lineRule="auto"/>
        <w:jc w:val="both"/>
        <w:rPr>
          <w:rFonts w:ascii="Times New Roman" w:hAnsi="Times New Roman" w:cs="Times New Roman"/>
          <w:b/>
          <w:sz w:val="24"/>
          <w:szCs w:val="24"/>
        </w:rPr>
        <w:sectPr w:rsidR="006C39FB" w:rsidRPr="006C39FB" w:rsidSect="006C39FB">
          <w:type w:val="continuous"/>
          <w:pgSz w:w="11906" w:h="16838"/>
          <w:pgMar w:top="1417" w:right="1417" w:bottom="1417" w:left="1417" w:header="708" w:footer="708" w:gutter="0"/>
          <w:cols w:num="2" w:space="708"/>
          <w:docGrid w:linePitch="360"/>
        </w:sectPr>
      </w:pPr>
    </w:p>
    <w:p w:rsidR="007578D3" w:rsidRPr="006C39FB" w:rsidRDefault="007578D3" w:rsidP="006C39FB">
      <w:pPr>
        <w:spacing w:line="240" w:lineRule="auto"/>
        <w:jc w:val="both"/>
        <w:rPr>
          <w:rFonts w:ascii="Times New Roman" w:hAnsi="Times New Roman" w:cs="Times New Roman"/>
          <w:b/>
          <w:sz w:val="24"/>
          <w:szCs w:val="24"/>
        </w:rPr>
      </w:pPr>
    </w:p>
    <w:p w:rsidR="007578D3" w:rsidRPr="006C39FB" w:rsidRDefault="00801A11" w:rsidP="006C39F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 id="AutoShape 16" o:spid="_x0000_s1028" type="#_x0000_t32" style="position:absolute;left:0;text-align:left;margin-left:59.95pt;margin-top:7.95pt;width:392.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kBrgEAAEEDAAAOAAAAZHJzL2Uyb0RvYy54bWysUs1u2zAMvg/YOwi6L3a6bkiNOD2kyy7d&#10;FqDbAzCSbAuTRYFU4uTtJ6lJ9ncrqgNBiuRH8iOX98fRiYMhtuhbOZ/VUhivUFvft/LH9827hRQc&#10;wWtw6E0rT4bl/ertm+UUGnODAzptSCQQz80UWjnEGJqqYjWYEXiGwfjk7JBGiMmkvtIEU0IfXXVT&#10;1x+rCUkHQmWY0+/Ds1OuCn7XGRW/dR2bKFwrU2+xSCpyl2W1WkLTE4TBqnMb8IIuRrA+Fb1CPUAE&#10;sSf7H9RoFSFjF2cKxwq7zipTZkjTzOt/pnkaIJgySyKHw5Umfj1Y9fWw9lvKraujfwqPqH5yIqWa&#10;AjdXZzY4bEnspi+o0xphH7HMe+xozMlpEnEstJ6utJpjFCp93t4t3t8uEvvq4quguSQG4vjZ4Ciy&#10;0kqOBLYf4hq9T8tDmpcycHjkmNuC5pKQq3rcWOfKDp0XUzrAu/pDXTIYndXZm+OY+t3akThAPoP0&#10;Npu8+YT2Vxjh3uuCNhjQn856BOue9RTv/JmbTEe+Mm52qE9bynDZSnsqwOebyofwp12ifl/+6hcA&#10;AAD//wMAUEsDBBQABgAIAAAAIQCq8Ylz3QAAAA4BAAAPAAAAZHJzL2Rvd25yZXYueG1sTE/LTsMw&#10;ELwj8Q/WInGjTkt5JI1TARF3Ul7XbWzilHgd2W4b/p5FHOCyu7OP2ZlyPblBHEyIvScF81kGwlDr&#10;dU+dgpfnx4tbEDEhaRw8GQVfJsK6Oj0psdD+SI05bFInmIRigQpsSmMhZWytcRhnfjTEsw8fHCaG&#10;oZM64JHJ3SAXWXYtHfbEHyyO5sGa9nOzdwpesd69NZfL+p2ahQxP0ja77l6p87OpXnG4W4FIZkp/&#10;F/DjgfVDxcK2fk86ioHxPM95lYsrzryQZ8sbENvfhqxK+d9G9Q0AAP//AwBQSwECLQAUAAYACAAA&#10;ACEAtoM4kv4AAADhAQAAEwAAAAAAAAAAAAAAAAAAAAAAW0NvbnRlbnRfVHlwZXNdLnhtbFBLAQIt&#10;ABQABgAIAAAAIQA4/SH/1gAAAJQBAAALAAAAAAAAAAAAAAAAAC8BAABfcmVscy8ucmVsc1BLAQIt&#10;ABQABgAIAAAAIQA089kBrgEAAEEDAAAOAAAAAAAAAAAAAAAAAC4CAABkcnMvZTJvRG9jLnhtbFBL&#10;AQItABQABgAIAAAAIQCq8Ylz3QAAAA4BAAAPAAAAAAAAAAAAAAAAAAgEAABkcnMvZG93bnJldi54&#10;bWxQSwUGAAAAAAQABADzAAAAEgUAAAAAa2NuTXZaRzkzYm5KbGRpNTQNDQo=&#10;" strokecolor="blue" strokeweight="1.5pt">
            <o:lock v:ext="edit" shapetype="f"/>
          </v:shape>
        </w:pict>
      </w:r>
      <w:r w:rsidR="007578D3" w:rsidRPr="006C39FB">
        <w:rPr>
          <w:rFonts w:ascii="Times New Roman" w:hAnsi="Times New Roman" w:cs="Times New Roman"/>
          <w:b/>
          <w:color w:val="0000FF"/>
          <w:sz w:val="24"/>
          <w:szCs w:val="24"/>
        </w:rPr>
        <w:t xml:space="preserve">Conclusion  </w:t>
      </w:r>
    </w:p>
    <w:p w:rsidR="007578D3" w:rsidRDefault="006C39FB" w:rsidP="006C39FB">
      <w:pPr>
        <w:spacing w:before="100" w:beforeAutospacing="1" w:after="100" w:afterAutospacing="1" w:line="240" w:lineRule="auto"/>
        <w:jc w:val="both"/>
        <w:rPr>
          <w:rFonts w:ascii="Times New Roman" w:hAnsi="Times New Roman" w:cs="Times New Roman"/>
          <w:sz w:val="24"/>
          <w:szCs w:val="24"/>
        </w:rPr>
      </w:pPr>
      <w:r w:rsidRPr="006C39FB">
        <w:rPr>
          <w:rFonts w:ascii="Times New Roman" w:hAnsi="Times New Roman" w:cs="Times New Roman"/>
          <w:sz w:val="24"/>
          <w:szCs w:val="24"/>
        </w:rPr>
        <w:t xml:space="preserve">L’hydrocéphalie à pression normale demeure une pathologie sous-diagnostiquée à Mahajanga, en raison d’un retard diagnostique important, d’un accès limité aux examens d’imagerie avancée et d’une faible </w:t>
      </w:r>
      <w:proofErr w:type="spellStart"/>
      <w:proofErr w:type="gramStart"/>
      <w:r w:rsidRPr="006C39FB">
        <w:rPr>
          <w:rFonts w:ascii="Times New Roman" w:hAnsi="Times New Roman" w:cs="Times New Roman"/>
          <w:sz w:val="24"/>
          <w:szCs w:val="24"/>
        </w:rPr>
        <w:t>sensibilisation.Le</w:t>
      </w:r>
      <w:proofErr w:type="spellEnd"/>
      <w:proofErr w:type="gramEnd"/>
      <w:r w:rsidRPr="006C39FB">
        <w:rPr>
          <w:rFonts w:ascii="Times New Roman" w:hAnsi="Times New Roman" w:cs="Times New Roman"/>
          <w:sz w:val="24"/>
          <w:szCs w:val="24"/>
        </w:rPr>
        <w:t xml:space="preserve"> renforcement des capacités diagnostiques, l’intégration systématique du </w:t>
      </w:r>
      <w:proofErr w:type="spellStart"/>
      <w:r w:rsidRPr="006C39FB">
        <w:rPr>
          <w:rFonts w:ascii="Times New Roman" w:hAnsi="Times New Roman" w:cs="Times New Roman"/>
          <w:sz w:val="24"/>
          <w:szCs w:val="24"/>
        </w:rPr>
        <w:t>tap</w:t>
      </w:r>
      <w:proofErr w:type="spellEnd"/>
      <w:r w:rsidRPr="006C39FB">
        <w:rPr>
          <w:rFonts w:ascii="Times New Roman" w:hAnsi="Times New Roman" w:cs="Times New Roman"/>
          <w:sz w:val="24"/>
          <w:szCs w:val="24"/>
        </w:rPr>
        <w:t xml:space="preserve"> test et la formation continue des professionnels de santé sont indispensables pour améliorer le pronostic fonctionnel des patients.</w:t>
      </w:r>
    </w:p>
    <w:p w:rsidR="00BF24F1" w:rsidRPr="006C39FB" w:rsidRDefault="00BF24F1" w:rsidP="006C39FB">
      <w:pPr>
        <w:spacing w:before="100" w:beforeAutospacing="1" w:after="100" w:afterAutospacing="1" w:line="240" w:lineRule="auto"/>
        <w:jc w:val="both"/>
        <w:rPr>
          <w:rFonts w:ascii="Times New Roman" w:hAnsi="Times New Roman" w:cs="Times New Roman"/>
          <w:sz w:val="24"/>
          <w:szCs w:val="24"/>
        </w:rPr>
      </w:pPr>
    </w:p>
    <w:p w:rsidR="007578D3" w:rsidRPr="006C39FB" w:rsidRDefault="00801A11" w:rsidP="006C39F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 id="AutoShape 17" o:spid="_x0000_s1027" type="#_x0000_t32" style="position:absolute;left:0;text-align:left;margin-left:59.35pt;margin-top:7.8pt;width:395.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FcrQEAAEEDAAAOAAAAZHJzL2Uyb0RvYy54bWysUs1u2zAMvg/YOwi6L3YCZOiMOD2kyy7d&#10;FqDrAyiSbAuVRYFU4uTtR6lJ9ncbqgNBiuRH8iNX96fRi6NFchBaOZ/VUtigwbjQt/L5x/bDnRSU&#10;VDDKQ7CtPFuS9+v371ZTbOwCBvDGomCQQM0UWzmkFJuqIj3YUdEMog3s7ABHldjEvjKoJkYffbWo&#10;64/VBGgigrZE/Pvw6pTrgt91VqfvXUc2Cd9K7i0ViUXus6zWK9X0qOLg9KUN9R9djMoFLnqDelBJ&#10;iQO6f6BGpxEIujTTMFbQdU7bMgNPM6//muZpUNGWWZgcijea6O1g9bfjJuwwt65P4Sk+gn4hJqWa&#10;IjU3ZzYo7lDsp69geI3qkKDMe+pwzMk8iTgVWs83Wu0pCc2fy3oxX94x+/rqq1RzTYxI6YuFUWSl&#10;lZRQuX5IGwiBlwc4L2XU8ZFSbks114RcNcDWeV926IOY+AA/1cu6ZBB4Z7I3xxH2+41HcVT5DPht&#10;t3nzjPZHGMIhmII2WGU+X/SknH/VOd6HCzeZjnxl1OzBnHeY4bLFeyrAl5vKh/C7XaJ+Xf76JwAA&#10;AP//AwBQSwMEFAAGAAgAAAAhAHFehR7eAAAADgEAAA8AAABkcnMvZG93bnJldi54bWxMT01PwzAM&#10;vSPxHyIjcWPpBhtb13QCKu50fF2zxjQdjVMl2Vb+PUYc4GL52c/P7xWb0fXiiCF2nhRMJxkIpMab&#10;jloFL8+PV0sQMWkyuveECr4wwqY8Pyt0bvyJajxuUytYhGKuFdiUhlzK2Fh0Ok78gMS7Dx+cTgxD&#10;K03QJxZ3vZxl2UI63RF/sHrAB4vN5/bgFLzqav9WX99U71TPZHiStt6390pdXozVmsvdGkTCMf1d&#10;wE8G9g8lG9v5A5koesbT5S1TuZkvQDBhla3mIHa/A1kW8n+M8hsAAP//AwBQSwECLQAUAAYACAAA&#10;ACEAtoM4kv4AAADhAQAAEwAAAAAAAAAAAAAAAAAAAAAAW0NvbnRlbnRfVHlwZXNdLnhtbFBLAQIt&#10;ABQABgAIAAAAIQA4/SH/1gAAAJQBAAALAAAAAAAAAAAAAAAAAC8BAABfcmVscy8ucmVsc1BLAQIt&#10;ABQABgAIAAAAIQCiR2FcrQEAAEEDAAAOAAAAAAAAAAAAAAAAAC4CAABkcnMvZTJvRG9jLnhtbFBL&#10;AQItABQABgAIAAAAIQBxXoUe3gAAAA4BAAAPAAAAAAAAAAAAAAAAAAcEAABkcnMvZG93bnJldi54&#10;bWxQSwUGAAAAAAQABADzAAAAEgUAAAAAa2NuTXZaRzkzYm5KbGRpNTQNDQo=&#10;" strokecolor="blue" strokeweight="1.5pt">
            <o:lock v:ext="edit" shapetype="f"/>
          </v:shape>
        </w:pict>
      </w:r>
      <w:r w:rsidR="007578D3" w:rsidRPr="006C39FB">
        <w:rPr>
          <w:rFonts w:ascii="Times New Roman" w:hAnsi="Times New Roman" w:cs="Times New Roman"/>
          <w:b/>
          <w:color w:val="0000FF"/>
          <w:sz w:val="24"/>
          <w:szCs w:val="24"/>
        </w:rPr>
        <w:t xml:space="preserve">Références </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Hakim S, Adams RD. </w:t>
      </w:r>
      <w:r w:rsidRPr="006C39FB">
        <w:rPr>
          <w:lang w:val="en-US"/>
        </w:rPr>
        <w:t xml:space="preserve">The </w:t>
      </w:r>
      <w:proofErr w:type="spellStart"/>
      <w:r w:rsidRPr="006C39FB">
        <w:rPr>
          <w:lang w:val="en-US"/>
        </w:rPr>
        <w:t>specialclinicalproblem</w:t>
      </w:r>
      <w:proofErr w:type="spellEnd"/>
      <w:r w:rsidRPr="006C39FB">
        <w:rPr>
          <w:lang w:val="en-US"/>
        </w:rPr>
        <w:t xml:space="preserve"> of </w:t>
      </w:r>
      <w:proofErr w:type="spellStart"/>
      <w:r w:rsidRPr="006C39FB">
        <w:rPr>
          <w:lang w:val="en-US"/>
        </w:rPr>
        <w:t>symptomatichydrocephaluswith</w:t>
      </w:r>
      <w:proofErr w:type="spellEnd"/>
      <w:r w:rsidRPr="006C39FB">
        <w:rPr>
          <w:lang w:val="en-US"/>
        </w:rPr>
        <w:t xml:space="preserve"> normal </w:t>
      </w:r>
      <w:proofErr w:type="spellStart"/>
      <w:proofErr w:type="gramStart"/>
      <w:r w:rsidRPr="006C39FB">
        <w:rPr>
          <w:lang w:val="en-US"/>
        </w:rPr>
        <w:t>cerebrospinalfluidpressure.</w:t>
      </w:r>
      <w:r w:rsidRPr="006C39FB">
        <w:rPr>
          <w:rStyle w:val="Accentuation"/>
          <w:rFonts w:eastAsiaTheme="majorEastAsia"/>
          <w:lang w:val="en-US"/>
        </w:rPr>
        <w:t>JNeurolSci</w:t>
      </w:r>
      <w:proofErr w:type="spellEnd"/>
      <w:proofErr w:type="gramEnd"/>
      <w:r w:rsidRPr="006C39FB">
        <w:rPr>
          <w:lang w:val="en-US"/>
        </w:rPr>
        <w:t xml:space="preserve">. </w:t>
      </w:r>
      <w:proofErr w:type="gramStart"/>
      <w:r w:rsidRPr="006C39FB">
        <w:t>1965;</w:t>
      </w:r>
      <w:proofErr w:type="gramEnd"/>
      <w:r w:rsidRPr="006C39FB">
        <w:t>2:307–27.</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Adams RD, Fisher CM, Hakim S, </w:t>
      </w:r>
      <w:proofErr w:type="spellStart"/>
      <w:r w:rsidRPr="006C39FB">
        <w:rPr>
          <w:rStyle w:val="lev"/>
          <w:rFonts w:eastAsiaTheme="majorEastAsia"/>
          <w:lang w:val="en-US"/>
        </w:rPr>
        <w:t>Ojemann</w:t>
      </w:r>
      <w:proofErr w:type="spellEnd"/>
      <w:r w:rsidRPr="006C39FB">
        <w:rPr>
          <w:rStyle w:val="lev"/>
          <w:rFonts w:eastAsiaTheme="majorEastAsia"/>
          <w:lang w:val="en-US"/>
        </w:rPr>
        <w:t xml:space="preserve"> RG, Sweet WH. </w:t>
      </w:r>
      <w:proofErr w:type="spellStart"/>
      <w:r w:rsidRPr="006C39FB">
        <w:rPr>
          <w:lang w:val="en-US"/>
        </w:rPr>
        <w:t>Symptomaticocculthydrocephaluswith</w:t>
      </w:r>
      <w:proofErr w:type="spellEnd"/>
      <w:r w:rsidRPr="006C39FB">
        <w:rPr>
          <w:lang w:val="en-US"/>
        </w:rPr>
        <w:t xml:space="preserve"> normal cerebrospinal-fluid pressure.</w:t>
      </w:r>
      <w:r w:rsidRPr="006C39FB">
        <w:rPr>
          <w:lang w:val="en-US"/>
        </w:rPr>
        <w:br/>
      </w:r>
      <w:r w:rsidRPr="006C39FB">
        <w:rPr>
          <w:rStyle w:val="Accentuation"/>
          <w:rFonts w:eastAsiaTheme="majorEastAsia"/>
        </w:rPr>
        <w:t xml:space="preserve">N </w:t>
      </w:r>
      <w:proofErr w:type="spellStart"/>
      <w:r w:rsidRPr="006C39FB">
        <w:rPr>
          <w:rStyle w:val="Accentuation"/>
          <w:rFonts w:eastAsiaTheme="majorEastAsia"/>
        </w:rPr>
        <w:t>Engl</w:t>
      </w:r>
      <w:proofErr w:type="spellEnd"/>
      <w:r w:rsidRPr="006C39FB">
        <w:rPr>
          <w:rStyle w:val="Accentuation"/>
          <w:rFonts w:eastAsiaTheme="majorEastAsia"/>
        </w:rPr>
        <w:t xml:space="preserve"> J Med</w:t>
      </w:r>
      <w:r w:rsidRPr="006C39FB">
        <w:t>. 1965;273:117–26.</w:t>
      </w:r>
    </w:p>
    <w:p w:rsidR="006C39FB" w:rsidRPr="006C39FB" w:rsidRDefault="006C39FB" w:rsidP="006C39FB">
      <w:pPr>
        <w:pStyle w:val="NormalWeb"/>
        <w:numPr>
          <w:ilvl w:val="0"/>
          <w:numId w:val="2"/>
        </w:numPr>
        <w:jc w:val="both"/>
        <w:rPr>
          <w:lang w:val="en-US"/>
        </w:rPr>
      </w:pPr>
      <w:proofErr w:type="spellStart"/>
      <w:r w:rsidRPr="006C39FB">
        <w:rPr>
          <w:rStyle w:val="lev"/>
          <w:rFonts w:eastAsiaTheme="majorEastAsia"/>
          <w:lang w:val="en-US"/>
        </w:rPr>
        <w:t>Relkin</w:t>
      </w:r>
      <w:proofErr w:type="spellEnd"/>
      <w:r w:rsidRPr="006C39FB">
        <w:rPr>
          <w:rStyle w:val="lev"/>
          <w:rFonts w:eastAsiaTheme="majorEastAsia"/>
          <w:lang w:val="en-US"/>
        </w:rPr>
        <w:t xml:space="preserve"> N, </w:t>
      </w:r>
      <w:proofErr w:type="spellStart"/>
      <w:r w:rsidRPr="006C39FB">
        <w:rPr>
          <w:rStyle w:val="lev"/>
          <w:rFonts w:eastAsiaTheme="majorEastAsia"/>
          <w:lang w:val="en-US"/>
        </w:rPr>
        <w:t>Marmarou</w:t>
      </w:r>
      <w:proofErr w:type="spellEnd"/>
      <w:r w:rsidRPr="006C39FB">
        <w:rPr>
          <w:rStyle w:val="lev"/>
          <w:rFonts w:eastAsiaTheme="majorEastAsia"/>
          <w:lang w:val="en-US"/>
        </w:rPr>
        <w:t xml:space="preserve"> A, </w:t>
      </w:r>
      <w:proofErr w:type="spellStart"/>
      <w:r w:rsidRPr="006C39FB">
        <w:rPr>
          <w:rStyle w:val="lev"/>
          <w:rFonts w:eastAsiaTheme="majorEastAsia"/>
          <w:lang w:val="en-US"/>
        </w:rPr>
        <w:t>Klinge</w:t>
      </w:r>
      <w:proofErr w:type="spellEnd"/>
      <w:r w:rsidRPr="006C39FB">
        <w:rPr>
          <w:rStyle w:val="lev"/>
          <w:rFonts w:eastAsiaTheme="majorEastAsia"/>
          <w:lang w:val="en-US"/>
        </w:rPr>
        <w:t xml:space="preserve"> P, </w:t>
      </w:r>
      <w:proofErr w:type="spellStart"/>
      <w:r w:rsidRPr="006C39FB">
        <w:rPr>
          <w:rStyle w:val="lev"/>
          <w:rFonts w:eastAsiaTheme="majorEastAsia"/>
          <w:lang w:val="en-US"/>
        </w:rPr>
        <w:t>Bergsneider</w:t>
      </w:r>
      <w:proofErr w:type="spellEnd"/>
      <w:r w:rsidRPr="006C39FB">
        <w:rPr>
          <w:rStyle w:val="lev"/>
          <w:rFonts w:eastAsiaTheme="majorEastAsia"/>
          <w:lang w:val="en-US"/>
        </w:rPr>
        <w:t xml:space="preserve"> M, Black PM. </w:t>
      </w:r>
      <w:proofErr w:type="spellStart"/>
      <w:r w:rsidRPr="006C39FB">
        <w:rPr>
          <w:lang w:val="en-US"/>
        </w:rPr>
        <w:t>Diagnosingidiopathic</w:t>
      </w:r>
      <w:proofErr w:type="spellEnd"/>
      <w:r w:rsidRPr="006C39FB">
        <w:rPr>
          <w:lang w:val="en-US"/>
        </w:rPr>
        <w:t xml:space="preserve"> normal-pressure hydrocephalus. </w:t>
      </w:r>
      <w:r w:rsidRPr="006C39FB">
        <w:rPr>
          <w:rStyle w:val="Accentuation"/>
          <w:rFonts w:eastAsiaTheme="majorEastAsia"/>
          <w:lang w:val="en-US"/>
        </w:rPr>
        <w:t>Neurosurgery</w:t>
      </w:r>
      <w:r w:rsidRPr="006C39FB">
        <w:rPr>
          <w:lang w:val="en-US"/>
        </w:rPr>
        <w:t xml:space="preserve">. 2005;57(3 </w:t>
      </w:r>
      <w:proofErr w:type="spellStart"/>
      <w:r w:rsidRPr="006C39FB">
        <w:rPr>
          <w:lang w:val="en-US"/>
        </w:rPr>
        <w:t>Suppl</w:t>
      </w:r>
      <w:proofErr w:type="spellEnd"/>
      <w:proofErr w:type="gramStart"/>
      <w:r w:rsidRPr="006C39FB">
        <w:rPr>
          <w:lang w:val="en-US"/>
        </w:rPr>
        <w:t>):S</w:t>
      </w:r>
      <w:proofErr w:type="gramEnd"/>
      <w:r w:rsidRPr="006C39FB">
        <w:rPr>
          <w:lang w:val="en-US"/>
        </w:rPr>
        <w:t>4–S16.</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Ishikawa M, Hashimoto M, Mori E, </w:t>
      </w:r>
      <w:proofErr w:type="spellStart"/>
      <w:proofErr w:type="gramStart"/>
      <w:r w:rsidRPr="006C39FB">
        <w:rPr>
          <w:rStyle w:val="lev"/>
          <w:rFonts w:eastAsiaTheme="majorEastAsia"/>
          <w:lang w:val="en-US"/>
        </w:rPr>
        <w:t>KuwanaN;Japanese</w:t>
      </w:r>
      <w:proofErr w:type="spellEnd"/>
      <w:proofErr w:type="gramEnd"/>
      <w:r w:rsidRPr="006C39FB">
        <w:rPr>
          <w:rStyle w:val="lev"/>
          <w:rFonts w:eastAsiaTheme="majorEastAsia"/>
          <w:lang w:val="en-US"/>
        </w:rPr>
        <w:t xml:space="preserve"> Society of Normal Pressure Hydrocephalus. </w:t>
      </w:r>
      <w:r w:rsidRPr="006C39FB">
        <w:rPr>
          <w:lang w:val="en-US"/>
        </w:rPr>
        <w:t xml:space="preserve">Guidelines for management of idiopathic normal pressure </w:t>
      </w:r>
      <w:proofErr w:type="spellStart"/>
      <w:proofErr w:type="gramStart"/>
      <w:r w:rsidRPr="006C39FB">
        <w:rPr>
          <w:lang w:val="en-US"/>
        </w:rPr>
        <w:t>hydrocephalus.</w:t>
      </w:r>
      <w:r w:rsidRPr="006C39FB">
        <w:rPr>
          <w:rStyle w:val="Accentuation"/>
          <w:rFonts w:eastAsiaTheme="majorEastAsia"/>
          <w:lang w:val="en-US"/>
        </w:rPr>
        <w:t>Neurol</w:t>
      </w:r>
      <w:proofErr w:type="spellEnd"/>
      <w:proofErr w:type="gramEnd"/>
      <w:r w:rsidRPr="006C39FB">
        <w:rPr>
          <w:rStyle w:val="Accentuation"/>
          <w:rFonts w:eastAsiaTheme="majorEastAsia"/>
          <w:lang w:val="en-US"/>
        </w:rPr>
        <w:t xml:space="preserve"> Med </w:t>
      </w:r>
      <w:proofErr w:type="spellStart"/>
      <w:r w:rsidRPr="006C39FB">
        <w:rPr>
          <w:rStyle w:val="Accentuation"/>
          <w:rFonts w:eastAsiaTheme="majorEastAsia"/>
          <w:lang w:val="en-US"/>
        </w:rPr>
        <w:t>Chir</w:t>
      </w:r>
      <w:proofErr w:type="spellEnd"/>
      <w:r w:rsidRPr="006C39FB">
        <w:rPr>
          <w:rStyle w:val="Accentuation"/>
          <w:rFonts w:eastAsiaTheme="majorEastAsia"/>
          <w:lang w:val="en-US"/>
        </w:rPr>
        <w:t xml:space="preserve"> (Tokyo)</w:t>
      </w:r>
      <w:r w:rsidRPr="006C39FB">
        <w:rPr>
          <w:lang w:val="en-US"/>
        </w:rPr>
        <w:t xml:space="preserve">. </w:t>
      </w:r>
      <w:proofErr w:type="gramStart"/>
      <w:r w:rsidRPr="006C39FB">
        <w:t>2008;</w:t>
      </w:r>
      <w:proofErr w:type="gramEnd"/>
      <w:r w:rsidRPr="006C39FB">
        <w:t>48(</w:t>
      </w:r>
      <w:proofErr w:type="spellStart"/>
      <w:r w:rsidRPr="006C39FB">
        <w:t>Suppl</w:t>
      </w:r>
      <w:proofErr w:type="spellEnd"/>
      <w:r w:rsidRPr="006C39FB">
        <w:t>):S1–S23.</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Williams MA, </w:t>
      </w:r>
      <w:proofErr w:type="spellStart"/>
      <w:r w:rsidRPr="006C39FB">
        <w:rPr>
          <w:rStyle w:val="lev"/>
          <w:rFonts w:eastAsiaTheme="majorEastAsia"/>
          <w:lang w:val="en-US"/>
        </w:rPr>
        <w:t>MalmJ.</w:t>
      </w:r>
      <w:r w:rsidRPr="006C39FB">
        <w:rPr>
          <w:lang w:val="en-US"/>
        </w:rPr>
        <w:t>Diagnosis</w:t>
      </w:r>
      <w:proofErr w:type="spellEnd"/>
      <w:r w:rsidRPr="006C39FB">
        <w:rPr>
          <w:lang w:val="en-US"/>
        </w:rPr>
        <w:t xml:space="preserve"> and treatment of idiopathic normal pressure </w:t>
      </w:r>
      <w:proofErr w:type="spellStart"/>
      <w:proofErr w:type="gramStart"/>
      <w:r w:rsidRPr="006C39FB">
        <w:rPr>
          <w:lang w:val="en-US"/>
        </w:rPr>
        <w:t>hydrocephalus.</w:t>
      </w:r>
      <w:r w:rsidRPr="006C39FB">
        <w:rPr>
          <w:rStyle w:val="Accentuation"/>
          <w:rFonts w:eastAsiaTheme="majorEastAsia"/>
          <w:lang w:val="en-US"/>
        </w:rPr>
        <w:t>Continuum</w:t>
      </w:r>
      <w:proofErr w:type="spellEnd"/>
      <w:proofErr w:type="gramEnd"/>
      <w:r w:rsidRPr="006C39FB">
        <w:rPr>
          <w:rStyle w:val="Accentuation"/>
          <w:rFonts w:eastAsiaTheme="majorEastAsia"/>
          <w:lang w:val="en-US"/>
        </w:rPr>
        <w:t xml:space="preserve"> (</w:t>
      </w:r>
      <w:proofErr w:type="spellStart"/>
      <w:r w:rsidRPr="006C39FB">
        <w:rPr>
          <w:rStyle w:val="Accentuation"/>
          <w:rFonts w:eastAsiaTheme="majorEastAsia"/>
          <w:lang w:val="en-US"/>
        </w:rPr>
        <w:t>MinneapMinn</w:t>
      </w:r>
      <w:proofErr w:type="spellEnd"/>
      <w:r w:rsidRPr="006C39FB">
        <w:rPr>
          <w:rStyle w:val="Accentuation"/>
          <w:rFonts w:eastAsiaTheme="majorEastAsia"/>
          <w:lang w:val="en-US"/>
        </w:rPr>
        <w:t>)</w:t>
      </w:r>
      <w:r w:rsidRPr="006C39FB">
        <w:rPr>
          <w:lang w:val="en-US"/>
        </w:rPr>
        <w:t xml:space="preserve">. </w:t>
      </w:r>
      <w:proofErr w:type="gramStart"/>
      <w:r w:rsidRPr="006C39FB">
        <w:t>2016;</w:t>
      </w:r>
      <w:proofErr w:type="gramEnd"/>
      <w:r w:rsidRPr="006C39FB">
        <w:t xml:space="preserve">22(2 </w:t>
      </w:r>
      <w:proofErr w:type="spellStart"/>
      <w:r w:rsidRPr="006C39FB">
        <w:t>Dementia</w:t>
      </w:r>
      <w:proofErr w:type="spellEnd"/>
      <w:r w:rsidRPr="006C39FB">
        <w:t>):579–599.</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Kazui</w:t>
      </w:r>
      <w:proofErr w:type="spellEnd"/>
      <w:r w:rsidRPr="006C39FB">
        <w:rPr>
          <w:rStyle w:val="lev"/>
          <w:rFonts w:eastAsiaTheme="majorEastAsia"/>
          <w:lang w:val="en-US"/>
        </w:rPr>
        <w:t xml:space="preserve"> H, </w:t>
      </w:r>
      <w:proofErr w:type="spellStart"/>
      <w:r w:rsidRPr="006C39FB">
        <w:rPr>
          <w:rStyle w:val="lev"/>
          <w:rFonts w:eastAsiaTheme="majorEastAsia"/>
          <w:lang w:val="en-US"/>
        </w:rPr>
        <w:t>Miyajima</w:t>
      </w:r>
      <w:proofErr w:type="spellEnd"/>
      <w:r w:rsidRPr="006C39FB">
        <w:rPr>
          <w:rStyle w:val="lev"/>
          <w:rFonts w:eastAsiaTheme="majorEastAsia"/>
          <w:lang w:val="en-US"/>
        </w:rPr>
        <w:t xml:space="preserve"> M, Mori E, Ishikawa M; SINPHONI-2 Investigators.</w:t>
      </w:r>
      <w:r w:rsidRPr="006C39FB">
        <w:rPr>
          <w:lang w:val="en-US"/>
        </w:rPr>
        <w:br/>
        <w:t xml:space="preserve">Lack of awareness of idiopathic normal pressure hydrocephalus as a treatable cause of </w:t>
      </w:r>
      <w:proofErr w:type="spellStart"/>
      <w:r w:rsidRPr="006C39FB">
        <w:rPr>
          <w:lang w:val="en-US"/>
        </w:rPr>
        <w:t>dementia.</w:t>
      </w:r>
      <w:r w:rsidRPr="006C39FB">
        <w:rPr>
          <w:rStyle w:val="Accentuation"/>
          <w:rFonts w:eastAsiaTheme="majorEastAsia"/>
          <w:lang w:val="en-US"/>
        </w:rPr>
        <w:t>JNeurolSci</w:t>
      </w:r>
      <w:proofErr w:type="spellEnd"/>
      <w:r w:rsidRPr="006C39FB">
        <w:rPr>
          <w:lang w:val="en-US"/>
        </w:rPr>
        <w:t xml:space="preserve">. </w:t>
      </w:r>
      <w:proofErr w:type="gramStart"/>
      <w:r w:rsidRPr="006C39FB">
        <w:t>2015;</w:t>
      </w:r>
      <w:proofErr w:type="gramEnd"/>
      <w:r w:rsidRPr="006C39FB">
        <w:t>357:19–24.</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Andrén</w:t>
      </w:r>
      <w:proofErr w:type="spellEnd"/>
      <w:r w:rsidRPr="006C39FB">
        <w:rPr>
          <w:rStyle w:val="lev"/>
          <w:rFonts w:eastAsiaTheme="majorEastAsia"/>
          <w:lang w:val="en-US"/>
        </w:rPr>
        <w:t xml:space="preserve"> K, </w:t>
      </w:r>
      <w:proofErr w:type="spellStart"/>
      <w:r w:rsidRPr="006C39FB">
        <w:rPr>
          <w:rStyle w:val="lev"/>
          <w:rFonts w:eastAsiaTheme="majorEastAsia"/>
          <w:lang w:val="en-US"/>
        </w:rPr>
        <w:t>Wikkelsø</w:t>
      </w:r>
      <w:proofErr w:type="spellEnd"/>
      <w:r w:rsidRPr="006C39FB">
        <w:rPr>
          <w:rStyle w:val="lev"/>
          <w:rFonts w:eastAsiaTheme="majorEastAsia"/>
          <w:lang w:val="en-US"/>
        </w:rPr>
        <w:t xml:space="preserve"> C, </w:t>
      </w:r>
      <w:proofErr w:type="spellStart"/>
      <w:r w:rsidRPr="006C39FB">
        <w:rPr>
          <w:rStyle w:val="lev"/>
          <w:rFonts w:eastAsiaTheme="majorEastAsia"/>
          <w:lang w:val="en-US"/>
        </w:rPr>
        <w:t>Tisell</w:t>
      </w:r>
      <w:proofErr w:type="spellEnd"/>
      <w:r w:rsidRPr="006C39FB">
        <w:rPr>
          <w:rStyle w:val="lev"/>
          <w:rFonts w:eastAsiaTheme="majorEastAsia"/>
          <w:lang w:val="en-US"/>
        </w:rPr>
        <w:t xml:space="preserve"> M, </w:t>
      </w:r>
      <w:proofErr w:type="spellStart"/>
      <w:r w:rsidRPr="006C39FB">
        <w:rPr>
          <w:rStyle w:val="lev"/>
          <w:rFonts w:eastAsiaTheme="majorEastAsia"/>
          <w:lang w:val="en-US"/>
        </w:rPr>
        <w:t>Hellström</w:t>
      </w:r>
      <w:proofErr w:type="spellEnd"/>
      <w:r w:rsidRPr="006C39FB">
        <w:rPr>
          <w:rStyle w:val="lev"/>
          <w:rFonts w:eastAsiaTheme="majorEastAsia"/>
          <w:lang w:val="en-US"/>
        </w:rPr>
        <w:t xml:space="preserve"> P.</w:t>
      </w:r>
      <w:r w:rsidRPr="006C39FB">
        <w:rPr>
          <w:lang w:val="en-US"/>
        </w:rPr>
        <w:br/>
        <w:t>Natural course of idiopathic normal pressure hydrocephalus.</w:t>
      </w:r>
      <w:r w:rsidRPr="006C39FB">
        <w:rPr>
          <w:lang w:val="en-US"/>
        </w:rPr>
        <w:br/>
      </w:r>
      <w:r w:rsidRPr="006C39FB">
        <w:rPr>
          <w:rStyle w:val="Accentuation"/>
          <w:rFonts w:eastAsiaTheme="majorEastAsia"/>
        </w:rPr>
        <w:t xml:space="preserve">J </w:t>
      </w:r>
      <w:proofErr w:type="spellStart"/>
      <w:r w:rsidRPr="006C39FB">
        <w:rPr>
          <w:rStyle w:val="Accentuation"/>
          <w:rFonts w:eastAsiaTheme="majorEastAsia"/>
        </w:rPr>
        <w:t>NeurolNeurosurgPsychiatry</w:t>
      </w:r>
      <w:proofErr w:type="spellEnd"/>
      <w:r w:rsidRPr="006C39FB">
        <w:t xml:space="preserve">. </w:t>
      </w:r>
      <w:proofErr w:type="gramStart"/>
      <w:r w:rsidRPr="006C39FB">
        <w:t>2014;</w:t>
      </w:r>
      <w:proofErr w:type="gramEnd"/>
      <w:r w:rsidRPr="006C39FB">
        <w:t>85:806–10.</w:t>
      </w:r>
    </w:p>
    <w:p w:rsidR="006C39FB" w:rsidRPr="006C39FB" w:rsidRDefault="006C39FB" w:rsidP="006C39FB">
      <w:pPr>
        <w:pStyle w:val="NormalWeb"/>
        <w:numPr>
          <w:ilvl w:val="0"/>
          <w:numId w:val="2"/>
        </w:numPr>
        <w:jc w:val="both"/>
      </w:pPr>
      <w:r w:rsidRPr="006C39FB">
        <w:rPr>
          <w:rStyle w:val="lev"/>
          <w:rFonts w:eastAsiaTheme="majorEastAsia"/>
        </w:rPr>
        <w:t xml:space="preserve">Toure K, Ba MC, Ndiaye M, et </w:t>
      </w:r>
      <w:proofErr w:type="spellStart"/>
      <w:r w:rsidRPr="006C39FB">
        <w:rPr>
          <w:rStyle w:val="lev"/>
          <w:rFonts w:eastAsiaTheme="majorEastAsia"/>
        </w:rPr>
        <w:t>al.</w:t>
      </w:r>
      <w:r w:rsidRPr="006C39FB">
        <w:t>Hydrocéphalie</w:t>
      </w:r>
      <w:proofErr w:type="spellEnd"/>
      <w:r w:rsidRPr="006C39FB">
        <w:t xml:space="preserve"> à pression normale du sujet âgé : expérience d’un centre hospitalier africain.</w:t>
      </w:r>
      <w:r w:rsidRPr="006C39FB">
        <w:br/>
      </w:r>
      <w:r w:rsidRPr="006C39FB">
        <w:rPr>
          <w:rStyle w:val="Accentuation"/>
          <w:rFonts w:eastAsiaTheme="majorEastAsia"/>
        </w:rPr>
        <w:t>Neurochirurgie</w:t>
      </w:r>
      <w:r w:rsidRPr="006C39FB">
        <w:t xml:space="preserve">. </w:t>
      </w:r>
      <w:proofErr w:type="gramStart"/>
      <w:r w:rsidRPr="006C39FB">
        <w:t>2016;</w:t>
      </w:r>
      <w:proofErr w:type="gramEnd"/>
      <w:r w:rsidRPr="006C39FB">
        <w:t>62:120–5.</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Owolabi</w:t>
      </w:r>
      <w:proofErr w:type="spellEnd"/>
      <w:r w:rsidRPr="006C39FB">
        <w:rPr>
          <w:rStyle w:val="lev"/>
          <w:rFonts w:eastAsiaTheme="majorEastAsia"/>
          <w:lang w:val="en-US"/>
        </w:rPr>
        <w:t xml:space="preserve"> LF, </w:t>
      </w:r>
      <w:proofErr w:type="spellStart"/>
      <w:r w:rsidRPr="006C39FB">
        <w:rPr>
          <w:rStyle w:val="lev"/>
          <w:rFonts w:eastAsiaTheme="majorEastAsia"/>
          <w:lang w:val="en-US"/>
        </w:rPr>
        <w:t>Shehu</w:t>
      </w:r>
      <w:proofErr w:type="spellEnd"/>
      <w:r w:rsidRPr="006C39FB">
        <w:rPr>
          <w:rStyle w:val="lev"/>
          <w:rFonts w:eastAsiaTheme="majorEastAsia"/>
          <w:lang w:val="en-US"/>
        </w:rPr>
        <w:t xml:space="preserve"> NY, </w:t>
      </w:r>
      <w:proofErr w:type="spellStart"/>
      <w:r w:rsidRPr="006C39FB">
        <w:rPr>
          <w:rStyle w:val="lev"/>
          <w:rFonts w:eastAsiaTheme="majorEastAsia"/>
          <w:lang w:val="en-US"/>
        </w:rPr>
        <w:t>Adamu</w:t>
      </w:r>
      <w:proofErr w:type="spellEnd"/>
      <w:r w:rsidRPr="006C39FB">
        <w:rPr>
          <w:rStyle w:val="lev"/>
          <w:rFonts w:eastAsiaTheme="majorEastAsia"/>
          <w:lang w:val="en-US"/>
        </w:rPr>
        <w:t xml:space="preserve"> B.</w:t>
      </w:r>
      <w:r w:rsidRPr="006C39FB">
        <w:rPr>
          <w:lang w:val="en-US"/>
        </w:rPr>
        <w:br/>
        <w:t xml:space="preserve">Idiopathic normal pressure hydrocephalus in </w:t>
      </w:r>
      <w:proofErr w:type="spellStart"/>
      <w:r w:rsidRPr="006C39FB">
        <w:rPr>
          <w:lang w:val="en-US"/>
        </w:rPr>
        <w:t>elderlyAfricans</w:t>
      </w:r>
      <w:proofErr w:type="spellEnd"/>
      <w:r w:rsidRPr="006C39FB">
        <w:rPr>
          <w:lang w:val="en-US"/>
        </w:rPr>
        <w:t>.</w:t>
      </w:r>
      <w:r w:rsidRPr="006C39FB">
        <w:rPr>
          <w:lang w:val="en-US"/>
        </w:rPr>
        <w:br/>
      </w:r>
      <w:r w:rsidRPr="006C39FB">
        <w:rPr>
          <w:rStyle w:val="Accentuation"/>
          <w:rFonts w:eastAsiaTheme="majorEastAsia"/>
        </w:rPr>
        <w:t xml:space="preserve">J </w:t>
      </w:r>
      <w:proofErr w:type="spellStart"/>
      <w:r w:rsidRPr="006C39FB">
        <w:rPr>
          <w:rStyle w:val="Accentuation"/>
          <w:rFonts w:eastAsiaTheme="majorEastAsia"/>
        </w:rPr>
        <w:t>Neurosci</w:t>
      </w:r>
      <w:proofErr w:type="spellEnd"/>
      <w:r w:rsidRPr="006C39FB">
        <w:rPr>
          <w:rStyle w:val="Accentuation"/>
          <w:rFonts w:eastAsiaTheme="majorEastAsia"/>
        </w:rPr>
        <w:t xml:space="preserve"> Rural </w:t>
      </w:r>
      <w:proofErr w:type="spellStart"/>
      <w:r w:rsidRPr="006C39FB">
        <w:rPr>
          <w:rStyle w:val="Accentuation"/>
          <w:rFonts w:eastAsiaTheme="majorEastAsia"/>
        </w:rPr>
        <w:t>Pract</w:t>
      </w:r>
      <w:proofErr w:type="spellEnd"/>
      <w:r w:rsidRPr="006C39FB">
        <w:t xml:space="preserve">. </w:t>
      </w:r>
      <w:proofErr w:type="gramStart"/>
      <w:r w:rsidRPr="006C39FB">
        <w:t>2017;</w:t>
      </w:r>
      <w:proofErr w:type="gramEnd"/>
      <w:r w:rsidRPr="006C39FB">
        <w:t>8:87–92.</w:t>
      </w:r>
    </w:p>
    <w:p w:rsidR="006C39FB" w:rsidRPr="006C39FB" w:rsidRDefault="006C39FB" w:rsidP="006C39FB">
      <w:pPr>
        <w:pStyle w:val="NormalWeb"/>
        <w:numPr>
          <w:ilvl w:val="0"/>
          <w:numId w:val="2"/>
        </w:numPr>
        <w:jc w:val="both"/>
      </w:pPr>
      <w:proofErr w:type="spellStart"/>
      <w:r w:rsidRPr="006C39FB">
        <w:rPr>
          <w:rStyle w:val="lev"/>
          <w:rFonts w:eastAsiaTheme="majorEastAsia"/>
        </w:rPr>
        <w:t>Brean</w:t>
      </w:r>
      <w:proofErr w:type="spellEnd"/>
      <w:r w:rsidRPr="006C39FB">
        <w:rPr>
          <w:rStyle w:val="lev"/>
          <w:rFonts w:eastAsiaTheme="majorEastAsia"/>
        </w:rPr>
        <w:t xml:space="preserve"> A, </w:t>
      </w:r>
      <w:proofErr w:type="spellStart"/>
      <w:r w:rsidRPr="006C39FB">
        <w:rPr>
          <w:rStyle w:val="lev"/>
          <w:rFonts w:eastAsiaTheme="majorEastAsia"/>
        </w:rPr>
        <w:t>EidePK.</w:t>
      </w:r>
      <w:r w:rsidRPr="006C39FB">
        <w:t>Prevalence</w:t>
      </w:r>
      <w:proofErr w:type="spellEnd"/>
      <w:r w:rsidRPr="006C39FB">
        <w:t xml:space="preserve"> of probable </w:t>
      </w:r>
      <w:proofErr w:type="spellStart"/>
      <w:r w:rsidRPr="006C39FB">
        <w:t>idiopathic</w:t>
      </w:r>
      <w:proofErr w:type="spellEnd"/>
      <w:r w:rsidRPr="006C39FB">
        <w:t xml:space="preserve"> normal pressure </w:t>
      </w:r>
      <w:proofErr w:type="spellStart"/>
      <w:r w:rsidRPr="006C39FB">
        <w:t>hydrocephalus</w:t>
      </w:r>
      <w:proofErr w:type="spellEnd"/>
      <w:r w:rsidRPr="006C39FB">
        <w:t xml:space="preserve"> in a </w:t>
      </w:r>
      <w:proofErr w:type="spellStart"/>
      <w:r w:rsidRPr="006C39FB">
        <w:t>Norwegianpopulation.</w:t>
      </w:r>
      <w:r w:rsidRPr="006C39FB">
        <w:rPr>
          <w:rStyle w:val="Accentuation"/>
          <w:rFonts w:eastAsiaTheme="majorEastAsia"/>
        </w:rPr>
        <w:t>ActaNeurolScand</w:t>
      </w:r>
      <w:proofErr w:type="spellEnd"/>
      <w:r w:rsidRPr="006C39FB">
        <w:t xml:space="preserve">. </w:t>
      </w:r>
      <w:proofErr w:type="gramStart"/>
      <w:r w:rsidRPr="006C39FB">
        <w:t>2008;</w:t>
      </w:r>
      <w:proofErr w:type="gramEnd"/>
      <w:r w:rsidRPr="006C39FB">
        <w:t>118:48–53.</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Kawo</w:t>
      </w:r>
      <w:proofErr w:type="spellEnd"/>
      <w:r w:rsidRPr="006C39FB">
        <w:rPr>
          <w:rStyle w:val="lev"/>
          <w:rFonts w:eastAsiaTheme="majorEastAsia"/>
          <w:lang w:val="en-US"/>
        </w:rPr>
        <w:t xml:space="preserve"> G, Mohammed I, Mustapha M, et al.</w:t>
      </w:r>
      <w:r w:rsidRPr="006C39FB">
        <w:rPr>
          <w:lang w:val="en-US"/>
        </w:rPr>
        <w:br/>
        <w:t>Normal pressure hydrocephalus in Sub-</w:t>
      </w:r>
      <w:proofErr w:type="spellStart"/>
      <w:r w:rsidRPr="006C39FB">
        <w:rPr>
          <w:lang w:val="en-US"/>
        </w:rPr>
        <w:t>SaharanAfrica</w:t>
      </w:r>
      <w:proofErr w:type="spellEnd"/>
      <w:r w:rsidRPr="006C39FB">
        <w:rPr>
          <w:lang w:val="en-US"/>
        </w:rPr>
        <w:t xml:space="preserve">: diagnostic challenges and </w:t>
      </w:r>
      <w:proofErr w:type="spellStart"/>
      <w:r w:rsidRPr="006C39FB">
        <w:rPr>
          <w:lang w:val="en-US"/>
        </w:rPr>
        <w:t>outcomes.</w:t>
      </w:r>
      <w:r w:rsidRPr="006C39FB">
        <w:rPr>
          <w:rStyle w:val="Accentuation"/>
          <w:rFonts w:eastAsiaTheme="majorEastAsia"/>
          <w:lang w:val="en-US"/>
        </w:rPr>
        <w:t>Afr</w:t>
      </w:r>
      <w:proofErr w:type="spellEnd"/>
      <w:r w:rsidRPr="006C39FB">
        <w:rPr>
          <w:rStyle w:val="Accentuation"/>
          <w:rFonts w:eastAsiaTheme="majorEastAsia"/>
          <w:lang w:val="en-US"/>
        </w:rPr>
        <w:t xml:space="preserve"> J </w:t>
      </w:r>
      <w:proofErr w:type="spellStart"/>
      <w:r w:rsidRPr="006C39FB">
        <w:rPr>
          <w:rStyle w:val="Accentuation"/>
          <w:rFonts w:eastAsiaTheme="majorEastAsia"/>
          <w:lang w:val="en-US"/>
        </w:rPr>
        <w:t>NeurolSci</w:t>
      </w:r>
      <w:proofErr w:type="spellEnd"/>
      <w:r w:rsidRPr="006C39FB">
        <w:rPr>
          <w:lang w:val="en-US"/>
        </w:rPr>
        <w:t xml:space="preserve">. </w:t>
      </w:r>
      <w:proofErr w:type="gramStart"/>
      <w:r w:rsidRPr="006C39FB">
        <w:t>2018;</w:t>
      </w:r>
      <w:proofErr w:type="gramEnd"/>
      <w:r w:rsidRPr="006C39FB">
        <w:t>37(2):45–52.</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Mori E, Ishikawa M, Kato T, et </w:t>
      </w:r>
      <w:proofErr w:type="spellStart"/>
      <w:proofErr w:type="gramStart"/>
      <w:r w:rsidRPr="006C39FB">
        <w:rPr>
          <w:rStyle w:val="lev"/>
          <w:rFonts w:eastAsiaTheme="majorEastAsia"/>
          <w:lang w:val="en-US"/>
        </w:rPr>
        <w:t>al.</w:t>
      </w:r>
      <w:r w:rsidRPr="006C39FB">
        <w:rPr>
          <w:lang w:val="en-US"/>
        </w:rPr>
        <w:t>Guidelines</w:t>
      </w:r>
      <w:proofErr w:type="spellEnd"/>
      <w:proofErr w:type="gramEnd"/>
      <w:r w:rsidRPr="006C39FB">
        <w:rPr>
          <w:lang w:val="en-US"/>
        </w:rPr>
        <w:t xml:space="preserve"> for management of idiopathic normal pressure hydrocephalus: second </w:t>
      </w:r>
      <w:proofErr w:type="spellStart"/>
      <w:r w:rsidRPr="006C39FB">
        <w:rPr>
          <w:lang w:val="en-US"/>
        </w:rPr>
        <w:t>edition.</w:t>
      </w:r>
      <w:r w:rsidRPr="006C39FB">
        <w:rPr>
          <w:rStyle w:val="Accentuation"/>
          <w:rFonts w:eastAsiaTheme="majorEastAsia"/>
          <w:lang w:val="en-US"/>
        </w:rPr>
        <w:t>Neurol</w:t>
      </w:r>
      <w:proofErr w:type="spellEnd"/>
      <w:r w:rsidRPr="006C39FB">
        <w:rPr>
          <w:rStyle w:val="Accentuation"/>
          <w:rFonts w:eastAsiaTheme="majorEastAsia"/>
          <w:lang w:val="en-US"/>
        </w:rPr>
        <w:t xml:space="preserve"> Med </w:t>
      </w:r>
      <w:proofErr w:type="spellStart"/>
      <w:r w:rsidRPr="006C39FB">
        <w:rPr>
          <w:rStyle w:val="Accentuation"/>
          <w:rFonts w:eastAsiaTheme="majorEastAsia"/>
          <w:lang w:val="en-US"/>
        </w:rPr>
        <w:t>Chir</w:t>
      </w:r>
      <w:proofErr w:type="spellEnd"/>
      <w:r w:rsidRPr="006C39FB">
        <w:rPr>
          <w:rStyle w:val="Accentuation"/>
          <w:rFonts w:eastAsiaTheme="majorEastAsia"/>
          <w:lang w:val="en-US"/>
        </w:rPr>
        <w:t xml:space="preserve"> (Tokyo)</w:t>
      </w:r>
      <w:r w:rsidRPr="006C39FB">
        <w:rPr>
          <w:lang w:val="en-US"/>
        </w:rPr>
        <w:t xml:space="preserve">. </w:t>
      </w:r>
      <w:proofErr w:type="gramStart"/>
      <w:r w:rsidRPr="006C39FB">
        <w:t>2012;</w:t>
      </w:r>
      <w:proofErr w:type="gramEnd"/>
      <w:r w:rsidRPr="006C39FB">
        <w:t>52:775–809.</w:t>
      </w:r>
    </w:p>
    <w:p w:rsidR="006C39FB" w:rsidRPr="006C39FB" w:rsidRDefault="006C39FB" w:rsidP="006C39FB">
      <w:pPr>
        <w:pStyle w:val="NormalWeb"/>
        <w:numPr>
          <w:ilvl w:val="0"/>
          <w:numId w:val="2"/>
        </w:numPr>
        <w:jc w:val="both"/>
      </w:pPr>
      <w:r w:rsidRPr="006C39FB">
        <w:rPr>
          <w:rStyle w:val="lev"/>
          <w:rFonts w:eastAsiaTheme="majorEastAsia"/>
          <w:lang w:val="en-US"/>
        </w:rPr>
        <w:t xml:space="preserve">Hashimoto M, Ishikawa M, Mori E, </w:t>
      </w:r>
      <w:proofErr w:type="spellStart"/>
      <w:r w:rsidRPr="006C39FB">
        <w:rPr>
          <w:rStyle w:val="lev"/>
          <w:rFonts w:eastAsiaTheme="majorEastAsia"/>
          <w:lang w:val="en-US"/>
        </w:rPr>
        <w:t>Kuwana</w:t>
      </w:r>
      <w:proofErr w:type="spellEnd"/>
      <w:r w:rsidRPr="006C39FB">
        <w:rPr>
          <w:rStyle w:val="lev"/>
          <w:rFonts w:eastAsiaTheme="majorEastAsia"/>
          <w:lang w:val="en-US"/>
        </w:rPr>
        <w:t xml:space="preserve"> N.</w:t>
      </w:r>
      <w:r w:rsidRPr="006C39FB">
        <w:rPr>
          <w:lang w:val="en-US"/>
        </w:rPr>
        <w:br/>
        <w:t xml:space="preserve">Diagnosis of idiopathic normal pressure </w:t>
      </w:r>
      <w:proofErr w:type="spellStart"/>
      <w:r w:rsidRPr="006C39FB">
        <w:rPr>
          <w:lang w:val="en-US"/>
        </w:rPr>
        <w:t>hydrocephalusissupported</w:t>
      </w:r>
      <w:proofErr w:type="spellEnd"/>
      <w:r w:rsidRPr="006C39FB">
        <w:rPr>
          <w:lang w:val="en-US"/>
        </w:rPr>
        <w:t xml:space="preserve"> by MRI-</w:t>
      </w:r>
      <w:proofErr w:type="spellStart"/>
      <w:r w:rsidRPr="006C39FB">
        <w:rPr>
          <w:lang w:val="en-US"/>
        </w:rPr>
        <w:t>basedscheme</w:t>
      </w:r>
      <w:proofErr w:type="spellEnd"/>
      <w:r w:rsidRPr="006C39FB">
        <w:rPr>
          <w:lang w:val="en-US"/>
        </w:rPr>
        <w:t xml:space="preserve">: a prospective </w:t>
      </w:r>
      <w:proofErr w:type="spellStart"/>
      <w:r w:rsidRPr="006C39FB">
        <w:rPr>
          <w:lang w:val="en-US"/>
        </w:rPr>
        <w:t>cohortstudy</w:t>
      </w:r>
      <w:proofErr w:type="spellEnd"/>
      <w:r w:rsidRPr="006C39FB">
        <w:rPr>
          <w:lang w:val="en-US"/>
        </w:rPr>
        <w:t>.</w:t>
      </w:r>
      <w:r w:rsidRPr="006C39FB">
        <w:rPr>
          <w:lang w:val="en-US"/>
        </w:rPr>
        <w:br/>
      </w:r>
      <w:proofErr w:type="spellStart"/>
      <w:r w:rsidRPr="006C39FB">
        <w:rPr>
          <w:rStyle w:val="Accentuation"/>
          <w:rFonts w:eastAsiaTheme="majorEastAsia"/>
        </w:rPr>
        <w:t>CerebrospinalFluidRes</w:t>
      </w:r>
      <w:proofErr w:type="spellEnd"/>
      <w:r w:rsidRPr="006C39FB">
        <w:t xml:space="preserve">. </w:t>
      </w:r>
      <w:proofErr w:type="gramStart"/>
      <w:r w:rsidRPr="006C39FB">
        <w:t>2010;</w:t>
      </w:r>
      <w:proofErr w:type="gramEnd"/>
      <w:r w:rsidRPr="006C39FB">
        <w:t>7:18.</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Marmarou</w:t>
      </w:r>
      <w:proofErr w:type="spellEnd"/>
      <w:r w:rsidRPr="006C39FB">
        <w:rPr>
          <w:rStyle w:val="lev"/>
          <w:rFonts w:eastAsiaTheme="majorEastAsia"/>
          <w:lang w:val="en-US"/>
        </w:rPr>
        <w:t xml:space="preserve"> A, Young HF, </w:t>
      </w:r>
      <w:proofErr w:type="spellStart"/>
      <w:r w:rsidRPr="006C39FB">
        <w:rPr>
          <w:rStyle w:val="lev"/>
          <w:rFonts w:eastAsiaTheme="majorEastAsia"/>
          <w:lang w:val="en-US"/>
        </w:rPr>
        <w:t>Aygok</w:t>
      </w:r>
      <w:proofErr w:type="spellEnd"/>
      <w:r w:rsidRPr="006C39FB">
        <w:rPr>
          <w:rStyle w:val="lev"/>
          <w:rFonts w:eastAsiaTheme="majorEastAsia"/>
          <w:lang w:val="en-US"/>
        </w:rPr>
        <w:t xml:space="preserve"> GA, </w:t>
      </w:r>
      <w:proofErr w:type="spellStart"/>
      <w:r w:rsidRPr="006C39FB">
        <w:rPr>
          <w:rStyle w:val="lev"/>
          <w:rFonts w:eastAsiaTheme="majorEastAsia"/>
          <w:lang w:val="en-US"/>
        </w:rPr>
        <w:t>Golomb</w:t>
      </w:r>
      <w:proofErr w:type="spellEnd"/>
      <w:r w:rsidRPr="006C39FB">
        <w:rPr>
          <w:rStyle w:val="lev"/>
          <w:rFonts w:eastAsiaTheme="majorEastAsia"/>
          <w:lang w:val="en-US"/>
        </w:rPr>
        <w:t xml:space="preserve"> J, </w:t>
      </w:r>
      <w:proofErr w:type="spellStart"/>
      <w:r w:rsidRPr="006C39FB">
        <w:rPr>
          <w:rStyle w:val="lev"/>
          <w:rFonts w:eastAsiaTheme="majorEastAsia"/>
          <w:lang w:val="en-US"/>
        </w:rPr>
        <w:t>Tarlov</w:t>
      </w:r>
      <w:proofErr w:type="spellEnd"/>
      <w:r w:rsidRPr="006C39FB">
        <w:rPr>
          <w:rStyle w:val="lev"/>
          <w:rFonts w:eastAsiaTheme="majorEastAsia"/>
          <w:lang w:val="en-US"/>
        </w:rPr>
        <w:t xml:space="preserve"> E, </w:t>
      </w:r>
      <w:proofErr w:type="spellStart"/>
      <w:r w:rsidRPr="006C39FB">
        <w:rPr>
          <w:rStyle w:val="lev"/>
          <w:rFonts w:eastAsiaTheme="majorEastAsia"/>
          <w:lang w:val="en-US"/>
        </w:rPr>
        <w:t>Bergsneider</w:t>
      </w:r>
      <w:proofErr w:type="spellEnd"/>
      <w:r w:rsidRPr="006C39FB">
        <w:rPr>
          <w:rStyle w:val="lev"/>
          <w:rFonts w:eastAsiaTheme="majorEastAsia"/>
          <w:lang w:val="en-US"/>
        </w:rPr>
        <w:t xml:space="preserve"> M.</w:t>
      </w:r>
      <w:r w:rsidRPr="006C39FB">
        <w:rPr>
          <w:lang w:val="en-US"/>
        </w:rPr>
        <w:br/>
        <w:t xml:space="preserve">Diagnosis and management of idiopathic normal-pressure </w:t>
      </w:r>
      <w:proofErr w:type="spellStart"/>
      <w:r w:rsidRPr="006C39FB">
        <w:rPr>
          <w:lang w:val="en-US"/>
        </w:rPr>
        <w:t>hydrocephalus:a</w:t>
      </w:r>
      <w:proofErr w:type="spellEnd"/>
      <w:r w:rsidRPr="006C39FB">
        <w:rPr>
          <w:lang w:val="en-US"/>
        </w:rPr>
        <w:t xml:space="preserve"> prospective study in 151 </w:t>
      </w:r>
      <w:proofErr w:type="spellStart"/>
      <w:r w:rsidRPr="006C39FB">
        <w:rPr>
          <w:lang w:val="en-US"/>
        </w:rPr>
        <w:t>patients.</w:t>
      </w:r>
      <w:r w:rsidRPr="006C39FB">
        <w:rPr>
          <w:rStyle w:val="Accentuation"/>
          <w:rFonts w:eastAsiaTheme="majorEastAsia"/>
          <w:lang w:val="en-US"/>
        </w:rPr>
        <w:t>JNeurosurg</w:t>
      </w:r>
      <w:proofErr w:type="spellEnd"/>
      <w:r w:rsidRPr="006C39FB">
        <w:rPr>
          <w:lang w:val="en-US"/>
        </w:rPr>
        <w:t xml:space="preserve">. </w:t>
      </w:r>
      <w:proofErr w:type="gramStart"/>
      <w:r w:rsidRPr="006C39FB">
        <w:t>2005;</w:t>
      </w:r>
      <w:proofErr w:type="gramEnd"/>
      <w:r w:rsidRPr="006C39FB">
        <w:t>102:987–97.</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Klinge</w:t>
      </w:r>
      <w:proofErr w:type="spellEnd"/>
      <w:r w:rsidRPr="006C39FB">
        <w:rPr>
          <w:rStyle w:val="lev"/>
          <w:rFonts w:eastAsiaTheme="majorEastAsia"/>
          <w:lang w:val="en-US"/>
        </w:rPr>
        <w:t xml:space="preserve"> P, </w:t>
      </w:r>
      <w:proofErr w:type="spellStart"/>
      <w:r w:rsidRPr="006C39FB">
        <w:rPr>
          <w:rStyle w:val="lev"/>
          <w:rFonts w:eastAsiaTheme="majorEastAsia"/>
          <w:lang w:val="en-US"/>
        </w:rPr>
        <w:t>Hellström</w:t>
      </w:r>
      <w:proofErr w:type="spellEnd"/>
      <w:r w:rsidRPr="006C39FB">
        <w:rPr>
          <w:rStyle w:val="lev"/>
          <w:rFonts w:eastAsiaTheme="majorEastAsia"/>
          <w:lang w:val="en-US"/>
        </w:rPr>
        <w:t xml:space="preserve"> P, Tans J, </w:t>
      </w:r>
      <w:proofErr w:type="spellStart"/>
      <w:r w:rsidRPr="006C39FB">
        <w:rPr>
          <w:rStyle w:val="lev"/>
          <w:rFonts w:eastAsiaTheme="majorEastAsia"/>
          <w:lang w:val="en-US"/>
        </w:rPr>
        <w:t>Wikkelsø</w:t>
      </w:r>
      <w:proofErr w:type="spellEnd"/>
      <w:r w:rsidRPr="006C39FB">
        <w:rPr>
          <w:rStyle w:val="lev"/>
          <w:rFonts w:eastAsiaTheme="majorEastAsia"/>
          <w:lang w:val="en-US"/>
        </w:rPr>
        <w:t xml:space="preserve"> C.</w:t>
      </w:r>
      <w:r w:rsidRPr="006C39FB">
        <w:rPr>
          <w:lang w:val="en-US"/>
        </w:rPr>
        <w:br/>
        <w:t>One-</w:t>
      </w:r>
      <w:proofErr w:type="spellStart"/>
      <w:r w:rsidRPr="006C39FB">
        <w:rPr>
          <w:lang w:val="en-US"/>
        </w:rPr>
        <w:t>yearoutcome</w:t>
      </w:r>
      <w:proofErr w:type="spellEnd"/>
      <w:r w:rsidRPr="006C39FB">
        <w:rPr>
          <w:lang w:val="en-US"/>
        </w:rPr>
        <w:t xml:space="preserve"> in the European </w:t>
      </w:r>
      <w:proofErr w:type="spellStart"/>
      <w:r w:rsidRPr="006C39FB">
        <w:rPr>
          <w:lang w:val="en-US"/>
        </w:rPr>
        <w:t>multicentre</w:t>
      </w:r>
      <w:proofErr w:type="spellEnd"/>
      <w:r w:rsidRPr="006C39FB">
        <w:rPr>
          <w:lang w:val="en-US"/>
        </w:rPr>
        <w:t xml:space="preserve"> study on idiopathic normal pressure </w:t>
      </w:r>
      <w:proofErr w:type="spellStart"/>
      <w:r w:rsidRPr="006C39FB">
        <w:rPr>
          <w:lang w:val="en-US"/>
        </w:rPr>
        <w:t>hydrocephalus.</w:t>
      </w:r>
      <w:r w:rsidRPr="006C39FB">
        <w:rPr>
          <w:rStyle w:val="Accentuation"/>
          <w:rFonts w:eastAsiaTheme="majorEastAsia"/>
          <w:lang w:val="en-US"/>
        </w:rPr>
        <w:t>ActaNeurolScand</w:t>
      </w:r>
      <w:proofErr w:type="spellEnd"/>
      <w:r w:rsidRPr="006C39FB">
        <w:rPr>
          <w:lang w:val="en-US"/>
        </w:rPr>
        <w:t xml:space="preserve">. </w:t>
      </w:r>
      <w:proofErr w:type="gramStart"/>
      <w:r w:rsidRPr="006C39FB">
        <w:t>2012;</w:t>
      </w:r>
      <w:proofErr w:type="gramEnd"/>
      <w:r w:rsidRPr="006C39FB">
        <w:t>126:145–53.</w:t>
      </w:r>
    </w:p>
    <w:p w:rsidR="006C39FB" w:rsidRPr="006C39FB" w:rsidRDefault="006C39FB" w:rsidP="006C39FB">
      <w:pPr>
        <w:pStyle w:val="NormalWeb"/>
        <w:numPr>
          <w:ilvl w:val="0"/>
          <w:numId w:val="2"/>
        </w:numPr>
        <w:jc w:val="both"/>
      </w:pPr>
      <w:proofErr w:type="spellStart"/>
      <w:r w:rsidRPr="006C39FB">
        <w:rPr>
          <w:rStyle w:val="lev"/>
          <w:rFonts w:eastAsiaTheme="majorEastAsia"/>
          <w:lang w:val="en-US"/>
        </w:rPr>
        <w:t>Toma</w:t>
      </w:r>
      <w:proofErr w:type="spellEnd"/>
      <w:r w:rsidRPr="006C39FB">
        <w:rPr>
          <w:rStyle w:val="lev"/>
          <w:rFonts w:eastAsiaTheme="majorEastAsia"/>
          <w:lang w:val="en-US"/>
        </w:rPr>
        <w:t xml:space="preserve"> AK, Papadopoulos MC, Stapleton S, Kitchen ND, Watkins LD.</w:t>
      </w:r>
      <w:r w:rsidRPr="006C39FB">
        <w:rPr>
          <w:lang w:val="en-US"/>
        </w:rPr>
        <w:br/>
      </w:r>
      <w:proofErr w:type="spellStart"/>
      <w:r w:rsidRPr="006C39FB">
        <w:rPr>
          <w:lang w:val="en-US"/>
        </w:rPr>
        <w:t>Systematicreview</w:t>
      </w:r>
      <w:proofErr w:type="spellEnd"/>
      <w:r w:rsidRPr="006C39FB">
        <w:rPr>
          <w:lang w:val="en-US"/>
        </w:rPr>
        <w:t xml:space="preserve"> of the outcome of shunt surgery in idiopathic normal-pressure </w:t>
      </w:r>
      <w:proofErr w:type="spellStart"/>
      <w:r w:rsidRPr="006C39FB">
        <w:rPr>
          <w:lang w:val="en-US"/>
        </w:rPr>
        <w:t>hydrocephalus.</w:t>
      </w:r>
      <w:r w:rsidRPr="006C39FB">
        <w:rPr>
          <w:rStyle w:val="Accentuation"/>
          <w:rFonts w:eastAsiaTheme="majorEastAsia"/>
          <w:lang w:val="en-US"/>
        </w:rPr>
        <w:t>ActaNeurochir</w:t>
      </w:r>
      <w:proofErr w:type="spellEnd"/>
      <w:r w:rsidRPr="006C39FB">
        <w:rPr>
          <w:rStyle w:val="Accentuation"/>
          <w:rFonts w:eastAsiaTheme="majorEastAsia"/>
          <w:lang w:val="en-US"/>
        </w:rPr>
        <w:t xml:space="preserve"> (Wien)</w:t>
      </w:r>
      <w:r w:rsidRPr="006C39FB">
        <w:rPr>
          <w:lang w:val="en-US"/>
        </w:rPr>
        <w:t xml:space="preserve">. </w:t>
      </w:r>
      <w:proofErr w:type="gramStart"/>
      <w:r w:rsidRPr="006C39FB">
        <w:t>2013;</w:t>
      </w:r>
      <w:proofErr w:type="gramEnd"/>
      <w:r w:rsidRPr="006C39FB">
        <w:t>155:1977–80.</w:t>
      </w:r>
    </w:p>
    <w:p w:rsidR="006C39FB" w:rsidRPr="006C39FB" w:rsidRDefault="006C39FB" w:rsidP="006C39FB">
      <w:pPr>
        <w:pStyle w:val="NormalWeb"/>
        <w:numPr>
          <w:ilvl w:val="0"/>
          <w:numId w:val="2"/>
        </w:numPr>
        <w:jc w:val="both"/>
      </w:pPr>
      <w:r w:rsidRPr="006C39FB">
        <w:rPr>
          <w:rStyle w:val="lev"/>
          <w:rFonts w:eastAsiaTheme="majorEastAsia"/>
          <w:lang w:val="en-US"/>
        </w:rPr>
        <w:lastRenderedPageBreak/>
        <w:t xml:space="preserve">Pujari S, </w:t>
      </w:r>
      <w:proofErr w:type="spellStart"/>
      <w:r w:rsidRPr="006C39FB">
        <w:rPr>
          <w:rStyle w:val="lev"/>
          <w:rFonts w:eastAsiaTheme="majorEastAsia"/>
          <w:lang w:val="en-US"/>
        </w:rPr>
        <w:t>Kharkar</w:t>
      </w:r>
      <w:proofErr w:type="spellEnd"/>
      <w:r w:rsidRPr="006C39FB">
        <w:rPr>
          <w:rStyle w:val="lev"/>
          <w:rFonts w:eastAsiaTheme="majorEastAsia"/>
          <w:lang w:val="en-US"/>
        </w:rPr>
        <w:t xml:space="preserve"> S, </w:t>
      </w:r>
      <w:proofErr w:type="spellStart"/>
      <w:r w:rsidRPr="006C39FB">
        <w:rPr>
          <w:rStyle w:val="lev"/>
          <w:rFonts w:eastAsiaTheme="majorEastAsia"/>
          <w:lang w:val="en-US"/>
        </w:rPr>
        <w:t>Metellus</w:t>
      </w:r>
      <w:proofErr w:type="spellEnd"/>
      <w:r w:rsidRPr="006C39FB">
        <w:rPr>
          <w:rStyle w:val="lev"/>
          <w:rFonts w:eastAsiaTheme="majorEastAsia"/>
          <w:lang w:val="en-US"/>
        </w:rPr>
        <w:t xml:space="preserve"> P, Shuck J, Williams MA, </w:t>
      </w:r>
      <w:proofErr w:type="spellStart"/>
      <w:r w:rsidRPr="006C39FB">
        <w:rPr>
          <w:rStyle w:val="lev"/>
          <w:rFonts w:eastAsiaTheme="majorEastAsia"/>
          <w:lang w:val="en-US"/>
        </w:rPr>
        <w:t>Rigamonti</w:t>
      </w:r>
      <w:proofErr w:type="spellEnd"/>
      <w:r w:rsidRPr="006C39FB">
        <w:rPr>
          <w:rStyle w:val="lev"/>
          <w:rFonts w:eastAsiaTheme="majorEastAsia"/>
          <w:lang w:val="en-US"/>
        </w:rPr>
        <w:t xml:space="preserve"> D.</w:t>
      </w:r>
      <w:r w:rsidRPr="006C39FB">
        <w:rPr>
          <w:lang w:val="en-US"/>
        </w:rPr>
        <w:br/>
        <w:t>Normal pressure hydrocephalus: long-</w:t>
      </w:r>
      <w:proofErr w:type="spellStart"/>
      <w:r w:rsidRPr="006C39FB">
        <w:rPr>
          <w:lang w:val="en-US"/>
        </w:rPr>
        <w:t>termoutcomeafter</w:t>
      </w:r>
      <w:proofErr w:type="spellEnd"/>
      <w:r w:rsidRPr="006C39FB">
        <w:rPr>
          <w:lang w:val="en-US"/>
        </w:rPr>
        <w:t xml:space="preserve"> shunt surgery.</w:t>
      </w:r>
      <w:r w:rsidRPr="006C39FB">
        <w:rPr>
          <w:lang w:val="en-US"/>
        </w:rPr>
        <w:br/>
      </w:r>
      <w:r w:rsidRPr="006C39FB">
        <w:rPr>
          <w:rStyle w:val="Accentuation"/>
          <w:rFonts w:eastAsiaTheme="majorEastAsia"/>
        </w:rPr>
        <w:t xml:space="preserve">J </w:t>
      </w:r>
      <w:proofErr w:type="spellStart"/>
      <w:r w:rsidRPr="006C39FB">
        <w:rPr>
          <w:rStyle w:val="Accentuation"/>
          <w:rFonts w:eastAsiaTheme="majorEastAsia"/>
        </w:rPr>
        <w:t>NeurolNeurosurgPsychiatry</w:t>
      </w:r>
      <w:proofErr w:type="spellEnd"/>
      <w:r w:rsidRPr="006C39FB">
        <w:t xml:space="preserve">. </w:t>
      </w:r>
      <w:proofErr w:type="gramStart"/>
      <w:r w:rsidRPr="006C39FB">
        <w:t>2008;</w:t>
      </w:r>
      <w:proofErr w:type="gramEnd"/>
      <w:r w:rsidRPr="006C39FB">
        <w:t>79:1282–1286.</w:t>
      </w:r>
    </w:p>
    <w:p w:rsidR="006C39FB" w:rsidRPr="006C39FB" w:rsidRDefault="006C39FB" w:rsidP="006C39FB">
      <w:pPr>
        <w:pStyle w:val="NormalWeb"/>
        <w:numPr>
          <w:ilvl w:val="0"/>
          <w:numId w:val="2"/>
        </w:numPr>
        <w:jc w:val="both"/>
        <w:rPr>
          <w:lang w:val="en-US"/>
        </w:rPr>
      </w:pPr>
      <w:proofErr w:type="spellStart"/>
      <w:r w:rsidRPr="006C39FB">
        <w:rPr>
          <w:rStyle w:val="lev"/>
          <w:rFonts w:eastAsiaTheme="majorEastAsia"/>
          <w:lang w:val="en-US"/>
        </w:rPr>
        <w:t>McGirt</w:t>
      </w:r>
      <w:proofErr w:type="spellEnd"/>
      <w:r w:rsidRPr="006C39FB">
        <w:rPr>
          <w:rStyle w:val="lev"/>
          <w:rFonts w:eastAsiaTheme="majorEastAsia"/>
          <w:lang w:val="en-US"/>
        </w:rPr>
        <w:t xml:space="preserve"> MJ, Woodworth G, Coon AL, Thomas G, Williams MA, </w:t>
      </w:r>
      <w:proofErr w:type="spellStart"/>
      <w:r w:rsidRPr="006C39FB">
        <w:rPr>
          <w:rStyle w:val="lev"/>
          <w:rFonts w:eastAsiaTheme="majorEastAsia"/>
          <w:lang w:val="en-US"/>
        </w:rPr>
        <w:t>Rigamonti</w:t>
      </w:r>
      <w:proofErr w:type="spellEnd"/>
      <w:r w:rsidRPr="006C39FB">
        <w:rPr>
          <w:rStyle w:val="lev"/>
          <w:rFonts w:eastAsiaTheme="majorEastAsia"/>
          <w:lang w:val="en-US"/>
        </w:rPr>
        <w:t xml:space="preserve"> D.</w:t>
      </w:r>
      <w:r w:rsidRPr="006C39FB">
        <w:rPr>
          <w:lang w:val="en-US"/>
        </w:rPr>
        <w:br/>
        <w:t>Diagnosis, treatment, and analysis of long-</w:t>
      </w:r>
      <w:proofErr w:type="spellStart"/>
      <w:r w:rsidRPr="006C39FB">
        <w:rPr>
          <w:lang w:val="en-US"/>
        </w:rPr>
        <w:t>termoutcomes</w:t>
      </w:r>
      <w:proofErr w:type="spellEnd"/>
      <w:r w:rsidRPr="006C39FB">
        <w:rPr>
          <w:lang w:val="en-US"/>
        </w:rPr>
        <w:t xml:space="preserve"> in idiopathic normal-pressure </w:t>
      </w:r>
      <w:proofErr w:type="spellStart"/>
      <w:r w:rsidRPr="006C39FB">
        <w:rPr>
          <w:lang w:val="en-US"/>
        </w:rPr>
        <w:t>hydrocephalus.</w:t>
      </w:r>
      <w:r w:rsidRPr="006C39FB">
        <w:rPr>
          <w:rStyle w:val="Accentuation"/>
          <w:rFonts w:eastAsiaTheme="majorEastAsia"/>
          <w:lang w:val="en-US"/>
        </w:rPr>
        <w:t>Neurosurgery</w:t>
      </w:r>
      <w:proofErr w:type="spellEnd"/>
      <w:r w:rsidRPr="006C39FB">
        <w:rPr>
          <w:lang w:val="en-US"/>
        </w:rPr>
        <w:t xml:space="preserve">. </w:t>
      </w:r>
      <w:proofErr w:type="gramStart"/>
      <w:r w:rsidRPr="006C39FB">
        <w:rPr>
          <w:lang w:val="en-US"/>
        </w:rPr>
        <w:t>2005;57:699</w:t>
      </w:r>
      <w:proofErr w:type="gramEnd"/>
      <w:r w:rsidRPr="006C39FB">
        <w:rPr>
          <w:lang w:val="en-US"/>
        </w:rPr>
        <w:t>–705.</w:t>
      </w:r>
    </w:p>
    <w:p w:rsidR="007578D3" w:rsidRDefault="007578D3" w:rsidP="006C39FB">
      <w:pPr>
        <w:pStyle w:val="Paragraphedeliste"/>
        <w:spacing w:line="240" w:lineRule="auto"/>
        <w:jc w:val="both"/>
        <w:rPr>
          <w:rFonts w:ascii="Times New Roman" w:hAnsi="Times New Roman" w:cs="Times New Roman"/>
          <w:sz w:val="24"/>
          <w:szCs w:val="24"/>
          <w:lang w:val="en-US"/>
        </w:rPr>
      </w:pPr>
    </w:p>
    <w:p w:rsidR="006C39FB" w:rsidRDefault="006C39FB" w:rsidP="006C39FB">
      <w:pPr>
        <w:spacing w:line="360" w:lineRule="auto"/>
        <w:jc w:val="both"/>
        <w:rPr>
          <w:b/>
          <w:bCs/>
        </w:rPr>
      </w:pPr>
      <w:r w:rsidRPr="00710D65">
        <w:rPr>
          <w:b/>
          <w:bCs/>
        </w:rPr>
        <w:t>TABLEAUX</w:t>
      </w:r>
    </w:p>
    <w:p w:rsidR="006C39FB" w:rsidRPr="00710D65" w:rsidRDefault="006C39FB" w:rsidP="006C39FB">
      <w:pPr>
        <w:spacing w:line="360" w:lineRule="auto"/>
        <w:jc w:val="both"/>
        <w:rPr>
          <w:b/>
          <w:bCs/>
        </w:rPr>
      </w:pPr>
      <w:r w:rsidRPr="00710D65">
        <w:rPr>
          <w:b/>
          <w:bCs/>
        </w:rPr>
        <w:t xml:space="preserve">Tableau 1. </w:t>
      </w:r>
      <w:r>
        <w:rPr>
          <w:b/>
          <w:bCs/>
        </w:rPr>
        <w:t>Genre</w:t>
      </w:r>
      <w:r w:rsidRPr="00710D65">
        <w:rPr>
          <w:b/>
          <w:bCs/>
        </w:rPr>
        <w:t xml:space="preserve"> et tranche d’âge des patients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1982"/>
        <w:gridCol w:w="1843"/>
        <w:gridCol w:w="1984"/>
      </w:tblGrid>
      <w:tr w:rsidR="006C39FB" w:rsidTr="00E9642B">
        <w:trPr>
          <w:tblHeader/>
          <w:tblCellSpacing w:w="15" w:type="dxa"/>
        </w:trPr>
        <w:tc>
          <w:tcPr>
            <w:tcW w:w="0" w:type="auto"/>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Tranche d’âge (ans)</w:t>
            </w:r>
          </w:p>
        </w:tc>
        <w:tc>
          <w:tcPr>
            <w:tcW w:w="1952"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Hommes n (%)</w:t>
            </w:r>
          </w:p>
        </w:tc>
        <w:tc>
          <w:tcPr>
            <w:tcW w:w="1813"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Femmes n (%)</w:t>
            </w:r>
          </w:p>
        </w:tc>
        <w:tc>
          <w:tcPr>
            <w:tcW w:w="1939"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Total n (%)</w:t>
            </w:r>
          </w:p>
        </w:tc>
      </w:tr>
      <w:tr w:rsidR="006C39FB" w:rsidTr="00E9642B">
        <w:trPr>
          <w:tblCellSpacing w:w="15" w:type="dxa"/>
        </w:trPr>
        <w:tc>
          <w:tcPr>
            <w:tcW w:w="0" w:type="auto"/>
            <w:vAlign w:val="center"/>
            <w:hideMark/>
          </w:tcPr>
          <w:p w:rsidR="006C39FB" w:rsidRDefault="006C39FB" w:rsidP="00E9642B">
            <w:pPr>
              <w:spacing w:line="360" w:lineRule="auto"/>
            </w:pPr>
            <w:r>
              <w:t>60–69</w:t>
            </w:r>
          </w:p>
        </w:tc>
        <w:tc>
          <w:tcPr>
            <w:tcW w:w="1952" w:type="dxa"/>
            <w:vAlign w:val="center"/>
            <w:hideMark/>
          </w:tcPr>
          <w:p w:rsidR="006C39FB" w:rsidRDefault="006C39FB" w:rsidP="00E9642B">
            <w:pPr>
              <w:spacing w:line="360" w:lineRule="auto"/>
              <w:jc w:val="center"/>
            </w:pPr>
            <w:r>
              <w:t>5 (20,8)</w:t>
            </w:r>
          </w:p>
        </w:tc>
        <w:tc>
          <w:tcPr>
            <w:tcW w:w="1813" w:type="dxa"/>
            <w:vAlign w:val="center"/>
            <w:hideMark/>
          </w:tcPr>
          <w:p w:rsidR="006C39FB" w:rsidRDefault="006C39FB" w:rsidP="00E9642B">
            <w:pPr>
              <w:spacing w:line="360" w:lineRule="auto"/>
              <w:jc w:val="center"/>
            </w:pPr>
            <w:r>
              <w:t>3 (12,5)</w:t>
            </w:r>
          </w:p>
        </w:tc>
        <w:tc>
          <w:tcPr>
            <w:tcW w:w="1939" w:type="dxa"/>
            <w:vAlign w:val="center"/>
            <w:hideMark/>
          </w:tcPr>
          <w:p w:rsidR="006C39FB" w:rsidRDefault="006C39FB" w:rsidP="00E9642B">
            <w:pPr>
              <w:spacing w:line="360" w:lineRule="auto"/>
              <w:jc w:val="center"/>
            </w:pPr>
            <w:r>
              <w:t>8 (33,3)</w:t>
            </w:r>
          </w:p>
        </w:tc>
      </w:tr>
      <w:tr w:rsidR="006C39FB" w:rsidTr="00E9642B">
        <w:trPr>
          <w:tblCellSpacing w:w="15" w:type="dxa"/>
        </w:trPr>
        <w:tc>
          <w:tcPr>
            <w:tcW w:w="0" w:type="auto"/>
            <w:vAlign w:val="center"/>
            <w:hideMark/>
          </w:tcPr>
          <w:p w:rsidR="006C39FB" w:rsidRDefault="006C39FB" w:rsidP="00E9642B">
            <w:pPr>
              <w:spacing w:line="360" w:lineRule="auto"/>
            </w:pPr>
            <w:r>
              <w:t>70–79</w:t>
            </w:r>
          </w:p>
        </w:tc>
        <w:tc>
          <w:tcPr>
            <w:tcW w:w="1952" w:type="dxa"/>
            <w:vAlign w:val="center"/>
            <w:hideMark/>
          </w:tcPr>
          <w:p w:rsidR="006C39FB" w:rsidRDefault="006C39FB" w:rsidP="00E9642B">
            <w:pPr>
              <w:spacing w:line="360" w:lineRule="auto"/>
              <w:jc w:val="center"/>
            </w:pPr>
            <w:r>
              <w:t>7 (29,2)</w:t>
            </w:r>
          </w:p>
        </w:tc>
        <w:tc>
          <w:tcPr>
            <w:tcW w:w="1813" w:type="dxa"/>
            <w:vAlign w:val="center"/>
            <w:hideMark/>
          </w:tcPr>
          <w:p w:rsidR="006C39FB" w:rsidRDefault="006C39FB" w:rsidP="00E9642B">
            <w:pPr>
              <w:spacing w:line="360" w:lineRule="auto"/>
              <w:jc w:val="center"/>
            </w:pPr>
            <w:r>
              <w:t>4 (16,7)</w:t>
            </w:r>
          </w:p>
        </w:tc>
        <w:tc>
          <w:tcPr>
            <w:tcW w:w="1939" w:type="dxa"/>
            <w:vAlign w:val="center"/>
            <w:hideMark/>
          </w:tcPr>
          <w:p w:rsidR="006C39FB" w:rsidRDefault="006C39FB" w:rsidP="00E9642B">
            <w:pPr>
              <w:spacing w:line="360" w:lineRule="auto"/>
              <w:jc w:val="center"/>
            </w:pPr>
            <w:r>
              <w:t>11 (45,8)</w:t>
            </w:r>
          </w:p>
        </w:tc>
      </w:tr>
      <w:tr w:rsidR="006C39FB" w:rsidTr="00E9642B">
        <w:trPr>
          <w:tblCellSpacing w:w="15" w:type="dxa"/>
        </w:trPr>
        <w:tc>
          <w:tcPr>
            <w:tcW w:w="0" w:type="auto"/>
            <w:vAlign w:val="center"/>
            <w:hideMark/>
          </w:tcPr>
          <w:p w:rsidR="006C39FB" w:rsidRDefault="006C39FB" w:rsidP="00E9642B">
            <w:pPr>
              <w:spacing w:line="360" w:lineRule="auto"/>
            </w:pPr>
            <w:r>
              <w:t>≥ 80</w:t>
            </w:r>
          </w:p>
        </w:tc>
        <w:tc>
          <w:tcPr>
            <w:tcW w:w="1952" w:type="dxa"/>
            <w:vAlign w:val="center"/>
            <w:hideMark/>
          </w:tcPr>
          <w:p w:rsidR="006C39FB" w:rsidRDefault="006C39FB" w:rsidP="00E9642B">
            <w:pPr>
              <w:spacing w:line="360" w:lineRule="auto"/>
              <w:jc w:val="center"/>
            </w:pPr>
            <w:r>
              <w:t>3 (12,5)</w:t>
            </w:r>
          </w:p>
        </w:tc>
        <w:tc>
          <w:tcPr>
            <w:tcW w:w="1813" w:type="dxa"/>
            <w:vAlign w:val="center"/>
            <w:hideMark/>
          </w:tcPr>
          <w:p w:rsidR="006C39FB" w:rsidRDefault="006C39FB" w:rsidP="00E9642B">
            <w:pPr>
              <w:spacing w:line="360" w:lineRule="auto"/>
              <w:jc w:val="center"/>
            </w:pPr>
            <w:r>
              <w:t>2 (8,4)</w:t>
            </w:r>
          </w:p>
        </w:tc>
        <w:tc>
          <w:tcPr>
            <w:tcW w:w="1939" w:type="dxa"/>
            <w:vAlign w:val="center"/>
            <w:hideMark/>
          </w:tcPr>
          <w:p w:rsidR="006C39FB" w:rsidRDefault="006C39FB" w:rsidP="00E9642B">
            <w:pPr>
              <w:spacing w:line="360" w:lineRule="auto"/>
              <w:jc w:val="center"/>
            </w:pPr>
            <w:r>
              <w:t>5 (20,9)</w:t>
            </w:r>
          </w:p>
        </w:tc>
      </w:tr>
      <w:tr w:rsidR="006C39FB" w:rsidTr="00E9642B">
        <w:trPr>
          <w:tblCellSpacing w:w="15" w:type="dxa"/>
        </w:trPr>
        <w:tc>
          <w:tcPr>
            <w:tcW w:w="0" w:type="auto"/>
            <w:vAlign w:val="center"/>
            <w:hideMark/>
          </w:tcPr>
          <w:p w:rsidR="006C39FB" w:rsidRDefault="006C39FB" w:rsidP="00E9642B">
            <w:pPr>
              <w:spacing w:line="360" w:lineRule="auto"/>
            </w:pPr>
            <w:r>
              <w:rPr>
                <w:rStyle w:val="lev"/>
                <w:rFonts w:eastAsiaTheme="majorEastAsia"/>
              </w:rPr>
              <w:t>Total</w:t>
            </w:r>
          </w:p>
        </w:tc>
        <w:tc>
          <w:tcPr>
            <w:tcW w:w="1952" w:type="dxa"/>
            <w:vAlign w:val="center"/>
            <w:hideMark/>
          </w:tcPr>
          <w:p w:rsidR="006C39FB" w:rsidRDefault="006C39FB" w:rsidP="00E9642B">
            <w:pPr>
              <w:spacing w:line="360" w:lineRule="auto"/>
              <w:jc w:val="center"/>
            </w:pPr>
            <w:r>
              <w:rPr>
                <w:rStyle w:val="lev"/>
                <w:rFonts w:eastAsiaTheme="majorEastAsia"/>
              </w:rPr>
              <w:t>15 (62,5)</w:t>
            </w:r>
          </w:p>
        </w:tc>
        <w:tc>
          <w:tcPr>
            <w:tcW w:w="1813" w:type="dxa"/>
            <w:vAlign w:val="center"/>
            <w:hideMark/>
          </w:tcPr>
          <w:p w:rsidR="006C39FB" w:rsidRDefault="006C39FB" w:rsidP="00E9642B">
            <w:pPr>
              <w:spacing w:line="360" w:lineRule="auto"/>
              <w:jc w:val="center"/>
            </w:pPr>
            <w:r>
              <w:rPr>
                <w:rStyle w:val="lev"/>
                <w:rFonts w:eastAsiaTheme="majorEastAsia"/>
              </w:rPr>
              <w:t>9 (37,5)</w:t>
            </w:r>
          </w:p>
        </w:tc>
        <w:tc>
          <w:tcPr>
            <w:tcW w:w="1939" w:type="dxa"/>
            <w:vAlign w:val="center"/>
            <w:hideMark/>
          </w:tcPr>
          <w:p w:rsidR="006C39FB" w:rsidRDefault="006C39FB" w:rsidP="00E9642B">
            <w:pPr>
              <w:spacing w:line="360" w:lineRule="auto"/>
              <w:jc w:val="center"/>
            </w:pPr>
            <w:r>
              <w:rPr>
                <w:rStyle w:val="lev"/>
                <w:rFonts w:eastAsiaTheme="majorEastAsia"/>
              </w:rPr>
              <w:t>24 (100)</w:t>
            </w:r>
          </w:p>
        </w:tc>
      </w:tr>
    </w:tbl>
    <w:p w:rsidR="006C39FB" w:rsidRDefault="006C39FB" w:rsidP="006C39FB">
      <w:pPr>
        <w:spacing w:line="360" w:lineRule="auto"/>
        <w:jc w:val="both"/>
      </w:pPr>
    </w:p>
    <w:p w:rsidR="006C39FB" w:rsidRDefault="006C39FB" w:rsidP="006C39FB">
      <w:pPr>
        <w:spacing w:line="360" w:lineRule="auto"/>
        <w:jc w:val="both"/>
      </w:pPr>
    </w:p>
    <w:p w:rsidR="006C39FB" w:rsidRPr="00B85C6E" w:rsidRDefault="006C39FB" w:rsidP="006C39FB">
      <w:pPr>
        <w:spacing w:line="360" w:lineRule="auto"/>
        <w:jc w:val="both"/>
        <w:rPr>
          <w:b/>
          <w:bCs/>
        </w:rPr>
      </w:pPr>
      <w:r w:rsidRPr="00B85C6E">
        <w:rPr>
          <w:b/>
          <w:bCs/>
        </w:rPr>
        <w:t>Tableau 2. Symptômes cliniques selon la durée du délai diagnostique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2268"/>
        <w:gridCol w:w="1984"/>
        <w:gridCol w:w="1276"/>
      </w:tblGrid>
      <w:tr w:rsidR="006C39FB" w:rsidTr="00E9642B">
        <w:trPr>
          <w:tblHeader/>
          <w:tblCellSpacing w:w="15" w:type="dxa"/>
        </w:trPr>
        <w:tc>
          <w:tcPr>
            <w:tcW w:w="2507" w:type="dxa"/>
            <w:tcBorders>
              <w:top w:val="single" w:sz="4" w:space="0" w:color="auto"/>
              <w:bottom w:val="single" w:sz="4" w:space="0" w:color="auto"/>
            </w:tcBorders>
            <w:vAlign w:val="center"/>
            <w:hideMark/>
          </w:tcPr>
          <w:p w:rsidR="006C39FB" w:rsidRDefault="006C39FB" w:rsidP="00E9642B">
            <w:pPr>
              <w:spacing w:line="360" w:lineRule="auto"/>
              <w:rPr>
                <w:b/>
                <w:bCs/>
              </w:rPr>
            </w:pPr>
            <w:r>
              <w:rPr>
                <w:b/>
                <w:bCs/>
              </w:rPr>
              <w:t>Symptômes principaux</w:t>
            </w:r>
          </w:p>
        </w:tc>
        <w:tc>
          <w:tcPr>
            <w:tcW w:w="2238"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 12 mois n (%)</w:t>
            </w:r>
          </w:p>
        </w:tc>
        <w:tc>
          <w:tcPr>
            <w:tcW w:w="1954"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&gt; 12 mois n (%)</w:t>
            </w:r>
          </w:p>
        </w:tc>
        <w:tc>
          <w:tcPr>
            <w:tcW w:w="1231"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Total n (%)</w:t>
            </w:r>
          </w:p>
        </w:tc>
      </w:tr>
      <w:tr w:rsidR="006C39FB" w:rsidTr="00E9642B">
        <w:trPr>
          <w:tblCellSpacing w:w="15" w:type="dxa"/>
        </w:trPr>
        <w:tc>
          <w:tcPr>
            <w:tcW w:w="2507" w:type="dxa"/>
            <w:vAlign w:val="center"/>
            <w:hideMark/>
          </w:tcPr>
          <w:p w:rsidR="006C39FB" w:rsidRDefault="006C39FB" w:rsidP="00E9642B">
            <w:pPr>
              <w:spacing w:line="360" w:lineRule="auto"/>
            </w:pPr>
            <w:r>
              <w:t>Trouble de la marche</w:t>
            </w:r>
          </w:p>
        </w:tc>
        <w:tc>
          <w:tcPr>
            <w:tcW w:w="2238" w:type="dxa"/>
            <w:vAlign w:val="center"/>
            <w:hideMark/>
          </w:tcPr>
          <w:p w:rsidR="006C39FB" w:rsidRDefault="006C39FB" w:rsidP="00E9642B">
            <w:pPr>
              <w:spacing w:line="360" w:lineRule="auto"/>
              <w:jc w:val="center"/>
            </w:pPr>
            <w:r>
              <w:t>12 (50,0)</w:t>
            </w:r>
          </w:p>
        </w:tc>
        <w:tc>
          <w:tcPr>
            <w:tcW w:w="1954" w:type="dxa"/>
            <w:vAlign w:val="center"/>
            <w:hideMark/>
          </w:tcPr>
          <w:p w:rsidR="006C39FB" w:rsidRDefault="006C39FB" w:rsidP="00E9642B">
            <w:pPr>
              <w:spacing w:line="360" w:lineRule="auto"/>
              <w:jc w:val="center"/>
            </w:pPr>
            <w:r>
              <w:t>12 (50,0)</w:t>
            </w:r>
          </w:p>
        </w:tc>
        <w:tc>
          <w:tcPr>
            <w:tcW w:w="1231" w:type="dxa"/>
            <w:vAlign w:val="center"/>
            <w:hideMark/>
          </w:tcPr>
          <w:p w:rsidR="006C39FB" w:rsidRDefault="006C39FB" w:rsidP="00E9642B">
            <w:pPr>
              <w:spacing w:line="360" w:lineRule="auto"/>
              <w:jc w:val="center"/>
            </w:pPr>
            <w:r>
              <w:t>24 (100)</w:t>
            </w:r>
          </w:p>
        </w:tc>
      </w:tr>
      <w:tr w:rsidR="006C39FB" w:rsidTr="00E9642B">
        <w:trPr>
          <w:tblCellSpacing w:w="15" w:type="dxa"/>
        </w:trPr>
        <w:tc>
          <w:tcPr>
            <w:tcW w:w="2507" w:type="dxa"/>
            <w:vAlign w:val="center"/>
            <w:hideMark/>
          </w:tcPr>
          <w:p w:rsidR="006C39FB" w:rsidRDefault="006C39FB" w:rsidP="00E9642B">
            <w:pPr>
              <w:spacing w:line="360" w:lineRule="auto"/>
            </w:pPr>
            <w:r>
              <w:t>Troubles cognitifs</w:t>
            </w:r>
          </w:p>
        </w:tc>
        <w:tc>
          <w:tcPr>
            <w:tcW w:w="2238" w:type="dxa"/>
            <w:vAlign w:val="center"/>
            <w:hideMark/>
          </w:tcPr>
          <w:p w:rsidR="006C39FB" w:rsidRDefault="006C39FB" w:rsidP="00E9642B">
            <w:pPr>
              <w:spacing w:line="360" w:lineRule="auto"/>
              <w:jc w:val="center"/>
            </w:pPr>
            <w:r>
              <w:t>7 (29,2)</w:t>
            </w:r>
          </w:p>
        </w:tc>
        <w:tc>
          <w:tcPr>
            <w:tcW w:w="1954" w:type="dxa"/>
            <w:vAlign w:val="center"/>
            <w:hideMark/>
          </w:tcPr>
          <w:p w:rsidR="006C39FB" w:rsidRDefault="006C39FB" w:rsidP="00E9642B">
            <w:pPr>
              <w:spacing w:line="360" w:lineRule="auto"/>
              <w:jc w:val="center"/>
            </w:pPr>
            <w:r>
              <w:t>11 (45,8)</w:t>
            </w:r>
          </w:p>
        </w:tc>
        <w:tc>
          <w:tcPr>
            <w:tcW w:w="1231" w:type="dxa"/>
            <w:vAlign w:val="center"/>
            <w:hideMark/>
          </w:tcPr>
          <w:p w:rsidR="006C39FB" w:rsidRDefault="006C39FB" w:rsidP="00E9642B">
            <w:pPr>
              <w:spacing w:line="360" w:lineRule="auto"/>
              <w:jc w:val="center"/>
            </w:pPr>
            <w:r>
              <w:t>18 (75,0)</w:t>
            </w:r>
          </w:p>
        </w:tc>
      </w:tr>
      <w:tr w:rsidR="006C39FB" w:rsidTr="00E9642B">
        <w:trPr>
          <w:tblCellSpacing w:w="15" w:type="dxa"/>
        </w:trPr>
        <w:tc>
          <w:tcPr>
            <w:tcW w:w="2507" w:type="dxa"/>
            <w:tcBorders>
              <w:bottom w:val="single" w:sz="4" w:space="0" w:color="auto"/>
            </w:tcBorders>
            <w:vAlign w:val="center"/>
            <w:hideMark/>
          </w:tcPr>
          <w:p w:rsidR="006C39FB" w:rsidRDefault="006C39FB" w:rsidP="00E9642B">
            <w:pPr>
              <w:spacing w:line="360" w:lineRule="auto"/>
            </w:pPr>
            <w:r>
              <w:t>Incontinence urinaire</w:t>
            </w:r>
          </w:p>
        </w:tc>
        <w:tc>
          <w:tcPr>
            <w:tcW w:w="2238" w:type="dxa"/>
            <w:tcBorders>
              <w:bottom w:val="single" w:sz="4" w:space="0" w:color="auto"/>
            </w:tcBorders>
            <w:vAlign w:val="center"/>
            <w:hideMark/>
          </w:tcPr>
          <w:p w:rsidR="006C39FB" w:rsidRDefault="006C39FB" w:rsidP="00E9642B">
            <w:pPr>
              <w:spacing w:line="360" w:lineRule="auto"/>
              <w:jc w:val="center"/>
            </w:pPr>
            <w:r>
              <w:t>4 (16,7)</w:t>
            </w:r>
          </w:p>
        </w:tc>
        <w:tc>
          <w:tcPr>
            <w:tcW w:w="1954" w:type="dxa"/>
            <w:tcBorders>
              <w:bottom w:val="single" w:sz="4" w:space="0" w:color="auto"/>
            </w:tcBorders>
            <w:vAlign w:val="center"/>
            <w:hideMark/>
          </w:tcPr>
          <w:p w:rsidR="006C39FB" w:rsidRDefault="006C39FB" w:rsidP="00E9642B">
            <w:pPr>
              <w:spacing w:line="360" w:lineRule="auto"/>
              <w:jc w:val="center"/>
            </w:pPr>
            <w:r>
              <w:t>7 (29,1)</w:t>
            </w:r>
          </w:p>
        </w:tc>
        <w:tc>
          <w:tcPr>
            <w:tcW w:w="1231" w:type="dxa"/>
            <w:tcBorders>
              <w:bottom w:val="single" w:sz="4" w:space="0" w:color="auto"/>
            </w:tcBorders>
            <w:vAlign w:val="center"/>
            <w:hideMark/>
          </w:tcPr>
          <w:p w:rsidR="006C39FB" w:rsidRDefault="006C39FB" w:rsidP="00E9642B">
            <w:pPr>
              <w:spacing w:line="360" w:lineRule="auto"/>
              <w:jc w:val="center"/>
            </w:pPr>
            <w:r>
              <w:t>11 (45,8)</w:t>
            </w:r>
          </w:p>
        </w:tc>
      </w:tr>
    </w:tbl>
    <w:p w:rsidR="006C39FB" w:rsidRDefault="006C39FB" w:rsidP="006C39FB">
      <w:pPr>
        <w:spacing w:line="360" w:lineRule="auto"/>
        <w:jc w:val="both"/>
      </w:pPr>
    </w:p>
    <w:p w:rsidR="006C39FB" w:rsidRDefault="006C39FB" w:rsidP="006C39FB">
      <w:pPr>
        <w:spacing w:line="360" w:lineRule="auto"/>
        <w:jc w:val="both"/>
      </w:pPr>
    </w:p>
    <w:p w:rsidR="00BF24F1" w:rsidRDefault="00BF24F1" w:rsidP="006C39FB">
      <w:pPr>
        <w:spacing w:line="360" w:lineRule="auto"/>
        <w:jc w:val="both"/>
      </w:pPr>
    </w:p>
    <w:p w:rsidR="00BF24F1" w:rsidRDefault="00BF24F1" w:rsidP="006C39FB">
      <w:pPr>
        <w:spacing w:line="360" w:lineRule="auto"/>
        <w:jc w:val="both"/>
      </w:pPr>
    </w:p>
    <w:p w:rsidR="00BF24F1" w:rsidRDefault="00BF24F1" w:rsidP="006C39FB">
      <w:pPr>
        <w:spacing w:line="360" w:lineRule="auto"/>
        <w:jc w:val="both"/>
      </w:pPr>
    </w:p>
    <w:p w:rsidR="00BF24F1" w:rsidRDefault="00BF24F1" w:rsidP="006C39FB">
      <w:pPr>
        <w:spacing w:line="360" w:lineRule="auto"/>
        <w:jc w:val="both"/>
      </w:pPr>
    </w:p>
    <w:p w:rsidR="006C39FB" w:rsidRPr="00B85C6E" w:rsidRDefault="006C39FB" w:rsidP="006C39FB">
      <w:pPr>
        <w:spacing w:line="360" w:lineRule="auto"/>
        <w:jc w:val="both"/>
        <w:rPr>
          <w:b/>
          <w:bCs/>
        </w:rPr>
      </w:pPr>
      <w:r w:rsidRPr="00B85C6E">
        <w:rPr>
          <w:b/>
          <w:bCs/>
        </w:rPr>
        <w:t>Tableau 3. Résultats de la ponction lombaire selon les signes cliniques dominants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5"/>
        <w:gridCol w:w="2076"/>
        <w:gridCol w:w="2465"/>
        <w:gridCol w:w="1134"/>
      </w:tblGrid>
      <w:tr w:rsidR="006C39FB" w:rsidTr="00E9642B">
        <w:trPr>
          <w:tblHeader/>
          <w:tblCellSpacing w:w="15" w:type="dxa"/>
        </w:trPr>
        <w:tc>
          <w:tcPr>
            <w:tcW w:w="0" w:type="auto"/>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Symptôme dominant</w:t>
            </w:r>
          </w:p>
        </w:tc>
        <w:tc>
          <w:tcPr>
            <w:tcW w:w="0" w:type="auto"/>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Amélioration après PL</w:t>
            </w:r>
          </w:p>
        </w:tc>
        <w:tc>
          <w:tcPr>
            <w:tcW w:w="2435"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Pas d’amélioration</w:t>
            </w:r>
          </w:p>
        </w:tc>
        <w:tc>
          <w:tcPr>
            <w:tcW w:w="1089" w:type="dxa"/>
            <w:tcBorders>
              <w:top w:val="single" w:sz="4" w:space="0" w:color="auto"/>
              <w:bottom w:val="single" w:sz="4" w:space="0" w:color="auto"/>
            </w:tcBorders>
            <w:vAlign w:val="center"/>
            <w:hideMark/>
          </w:tcPr>
          <w:p w:rsidR="006C39FB" w:rsidRDefault="006C39FB" w:rsidP="00E9642B">
            <w:pPr>
              <w:spacing w:line="360" w:lineRule="auto"/>
              <w:jc w:val="center"/>
              <w:rPr>
                <w:b/>
                <w:bCs/>
              </w:rPr>
            </w:pPr>
            <w:r>
              <w:rPr>
                <w:b/>
                <w:bCs/>
              </w:rPr>
              <w:t>Total</w:t>
            </w:r>
          </w:p>
        </w:tc>
      </w:tr>
      <w:tr w:rsidR="006C39FB" w:rsidTr="00E9642B">
        <w:trPr>
          <w:tblCellSpacing w:w="15" w:type="dxa"/>
        </w:trPr>
        <w:tc>
          <w:tcPr>
            <w:tcW w:w="0" w:type="auto"/>
            <w:vAlign w:val="center"/>
            <w:hideMark/>
          </w:tcPr>
          <w:p w:rsidR="006C39FB" w:rsidRDefault="006C39FB" w:rsidP="00E9642B">
            <w:pPr>
              <w:spacing w:line="360" w:lineRule="auto"/>
            </w:pPr>
            <w:r>
              <w:t>Marche</w:t>
            </w:r>
          </w:p>
        </w:tc>
        <w:tc>
          <w:tcPr>
            <w:tcW w:w="0" w:type="auto"/>
            <w:vAlign w:val="center"/>
            <w:hideMark/>
          </w:tcPr>
          <w:p w:rsidR="006C39FB" w:rsidRDefault="006C39FB" w:rsidP="00E9642B">
            <w:pPr>
              <w:spacing w:line="360" w:lineRule="auto"/>
              <w:jc w:val="center"/>
            </w:pPr>
            <w:r>
              <w:t>22</w:t>
            </w:r>
          </w:p>
        </w:tc>
        <w:tc>
          <w:tcPr>
            <w:tcW w:w="2435" w:type="dxa"/>
            <w:vAlign w:val="center"/>
            <w:hideMark/>
          </w:tcPr>
          <w:p w:rsidR="006C39FB" w:rsidRDefault="006C39FB" w:rsidP="00E9642B">
            <w:pPr>
              <w:spacing w:line="360" w:lineRule="auto"/>
              <w:jc w:val="center"/>
            </w:pPr>
            <w:r>
              <w:t>2</w:t>
            </w:r>
          </w:p>
        </w:tc>
        <w:tc>
          <w:tcPr>
            <w:tcW w:w="1089" w:type="dxa"/>
            <w:vAlign w:val="center"/>
            <w:hideMark/>
          </w:tcPr>
          <w:p w:rsidR="006C39FB" w:rsidRDefault="006C39FB" w:rsidP="00E9642B">
            <w:pPr>
              <w:spacing w:line="360" w:lineRule="auto"/>
              <w:jc w:val="center"/>
            </w:pPr>
            <w:r>
              <w:t>24</w:t>
            </w:r>
          </w:p>
        </w:tc>
      </w:tr>
      <w:tr w:rsidR="006C39FB" w:rsidTr="00E9642B">
        <w:trPr>
          <w:tblCellSpacing w:w="15" w:type="dxa"/>
        </w:trPr>
        <w:tc>
          <w:tcPr>
            <w:tcW w:w="0" w:type="auto"/>
            <w:vAlign w:val="center"/>
            <w:hideMark/>
          </w:tcPr>
          <w:p w:rsidR="006C39FB" w:rsidRDefault="006C39FB" w:rsidP="00E9642B">
            <w:pPr>
              <w:spacing w:line="360" w:lineRule="auto"/>
            </w:pPr>
            <w:r>
              <w:t>Cognition</w:t>
            </w:r>
          </w:p>
        </w:tc>
        <w:tc>
          <w:tcPr>
            <w:tcW w:w="0" w:type="auto"/>
            <w:vAlign w:val="center"/>
            <w:hideMark/>
          </w:tcPr>
          <w:p w:rsidR="006C39FB" w:rsidRDefault="006C39FB" w:rsidP="00E9642B">
            <w:pPr>
              <w:spacing w:line="360" w:lineRule="auto"/>
              <w:jc w:val="center"/>
            </w:pPr>
            <w:r>
              <w:t>18</w:t>
            </w:r>
          </w:p>
        </w:tc>
        <w:tc>
          <w:tcPr>
            <w:tcW w:w="2435" w:type="dxa"/>
            <w:vAlign w:val="center"/>
            <w:hideMark/>
          </w:tcPr>
          <w:p w:rsidR="006C39FB" w:rsidRDefault="006C39FB" w:rsidP="00E9642B">
            <w:pPr>
              <w:spacing w:line="360" w:lineRule="auto"/>
              <w:jc w:val="center"/>
            </w:pPr>
            <w:r>
              <w:t>6</w:t>
            </w:r>
          </w:p>
        </w:tc>
        <w:tc>
          <w:tcPr>
            <w:tcW w:w="1089" w:type="dxa"/>
            <w:vAlign w:val="center"/>
            <w:hideMark/>
          </w:tcPr>
          <w:p w:rsidR="006C39FB" w:rsidRDefault="006C39FB" w:rsidP="00E9642B">
            <w:pPr>
              <w:spacing w:line="360" w:lineRule="auto"/>
              <w:jc w:val="center"/>
            </w:pPr>
            <w:r>
              <w:t>24</w:t>
            </w:r>
          </w:p>
        </w:tc>
      </w:tr>
      <w:tr w:rsidR="006C39FB" w:rsidTr="00E9642B">
        <w:trPr>
          <w:tblCellSpacing w:w="15" w:type="dxa"/>
        </w:trPr>
        <w:tc>
          <w:tcPr>
            <w:tcW w:w="0" w:type="auto"/>
            <w:vAlign w:val="center"/>
            <w:hideMark/>
          </w:tcPr>
          <w:p w:rsidR="006C39FB" w:rsidRDefault="006C39FB" w:rsidP="00E9642B">
            <w:pPr>
              <w:spacing w:line="360" w:lineRule="auto"/>
            </w:pPr>
            <w:r>
              <w:t>Continence</w:t>
            </w:r>
          </w:p>
        </w:tc>
        <w:tc>
          <w:tcPr>
            <w:tcW w:w="0" w:type="auto"/>
            <w:vAlign w:val="center"/>
            <w:hideMark/>
          </w:tcPr>
          <w:p w:rsidR="006C39FB" w:rsidRDefault="006C39FB" w:rsidP="00E9642B">
            <w:pPr>
              <w:spacing w:line="360" w:lineRule="auto"/>
              <w:jc w:val="center"/>
            </w:pPr>
            <w:r>
              <w:t>16</w:t>
            </w:r>
          </w:p>
        </w:tc>
        <w:tc>
          <w:tcPr>
            <w:tcW w:w="2435" w:type="dxa"/>
            <w:vAlign w:val="center"/>
            <w:hideMark/>
          </w:tcPr>
          <w:p w:rsidR="006C39FB" w:rsidRDefault="006C39FB" w:rsidP="00E9642B">
            <w:pPr>
              <w:spacing w:line="360" w:lineRule="auto"/>
              <w:jc w:val="center"/>
            </w:pPr>
            <w:r>
              <w:t>8</w:t>
            </w:r>
          </w:p>
        </w:tc>
        <w:tc>
          <w:tcPr>
            <w:tcW w:w="1089" w:type="dxa"/>
            <w:vAlign w:val="center"/>
            <w:hideMark/>
          </w:tcPr>
          <w:p w:rsidR="006C39FB" w:rsidRDefault="006C39FB" w:rsidP="00E9642B">
            <w:pPr>
              <w:spacing w:line="360" w:lineRule="auto"/>
              <w:jc w:val="center"/>
            </w:pPr>
            <w:r>
              <w:t>24</w:t>
            </w:r>
          </w:p>
        </w:tc>
      </w:tr>
    </w:tbl>
    <w:p w:rsidR="006C39FB" w:rsidRDefault="006C39FB" w:rsidP="006C39FB">
      <w:pPr>
        <w:spacing w:line="360" w:lineRule="auto"/>
        <w:jc w:val="both"/>
      </w:pPr>
    </w:p>
    <w:p w:rsidR="006C39FB" w:rsidRDefault="006C39FB" w:rsidP="006C39FB">
      <w:pPr>
        <w:spacing w:line="360" w:lineRule="auto"/>
        <w:jc w:val="both"/>
      </w:pPr>
    </w:p>
    <w:p w:rsidR="006C39FB" w:rsidRPr="00B85C6E" w:rsidRDefault="006C39FB" w:rsidP="006C39FB">
      <w:pPr>
        <w:spacing w:line="360" w:lineRule="auto"/>
        <w:jc w:val="both"/>
        <w:rPr>
          <w:b/>
          <w:bCs/>
        </w:rPr>
      </w:pPr>
      <w:r w:rsidRPr="00B85C6E">
        <w:rPr>
          <w:b/>
          <w:bCs/>
        </w:rPr>
        <w:t>Tableau 4. Prise en charge chirurgicale et évolution clinique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2410"/>
        <w:gridCol w:w="2410"/>
        <w:gridCol w:w="1417"/>
      </w:tblGrid>
      <w:tr w:rsidR="006C39FB" w:rsidTr="00E9642B">
        <w:trPr>
          <w:tblHeader/>
          <w:tblCellSpacing w:w="15" w:type="dxa"/>
        </w:trPr>
        <w:tc>
          <w:tcPr>
            <w:tcW w:w="2790" w:type="dxa"/>
            <w:tcBorders>
              <w:top w:val="single" w:sz="4" w:space="0" w:color="auto"/>
              <w:bottom w:val="single" w:sz="4" w:space="0" w:color="auto"/>
            </w:tcBorders>
            <w:vAlign w:val="center"/>
            <w:hideMark/>
          </w:tcPr>
          <w:p w:rsidR="006C39FB" w:rsidRDefault="006C39FB" w:rsidP="00E9642B">
            <w:pPr>
              <w:rPr>
                <w:b/>
                <w:bCs/>
              </w:rPr>
            </w:pPr>
            <w:r>
              <w:rPr>
                <w:b/>
                <w:bCs/>
              </w:rPr>
              <w:t>Prise en charge</w:t>
            </w:r>
          </w:p>
        </w:tc>
        <w:tc>
          <w:tcPr>
            <w:tcW w:w="2380" w:type="dxa"/>
            <w:tcBorders>
              <w:top w:val="single" w:sz="4" w:space="0" w:color="auto"/>
              <w:bottom w:val="single" w:sz="4" w:space="0" w:color="auto"/>
            </w:tcBorders>
            <w:vAlign w:val="center"/>
            <w:hideMark/>
          </w:tcPr>
          <w:p w:rsidR="006C39FB" w:rsidRDefault="006C39FB" w:rsidP="00E9642B">
            <w:pPr>
              <w:jc w:val="center"/>
              <w:rPr>
                <w:b/>
                <w:bCs/>
              </w:rPr>
            </w:pPr>
            <w:r>
              <w:rPr>
                <w:b/>
                <w:bCs/>
              </w:rPr>
              <w:t>Évolution favorable</w:t>
            </w:r>
          </w:p>
        </w:tc>
        <w:tc>
          <w:tcPr>
            <w:tcW w:w="2380" w:type="dxa"/>
            <w:tcBorders>
              <w:top w:val="single" w:sz="4" w:space="0" w:color="auto"/>
              <w:bottom w:val="single" w:sz="4" w:space="0" w:color="auto"/>
            </w:tcBorders>
            <w:vAlign w:val="center"/>
            <w:hideMark/>
          </w:tcPr>
          <w:p w:rsidR="006C39FB" w:rsidRDefault="006C39FB" w:rsidP="00E9642B">
            <w:pPr>
              <w:jc w:val="center"/>
              <w:rPr>
                <w:b/>
                <w:bCs/>
              </w:rPr>
            </w:pPr>
            <w:r>
              <w:rPr>
                <w:b/>
                <w:bCs/>
              </w:rPr>
              <w:t>Évolution défavorable</w:t>
            </w:r>
          </w:p>
        </w:tc>
        <w:tc>
          <w:tcPr>
            <w:tcW w:w="1372" w:type="dxa"/>
            <w:tcBorders>
              <w:top w:val="single" w:sz="4" w:space="0" w:color="auto"/>
              <w:bottom w:val="single" w:sz="4" w:space="0" w:color="auto"/>
            </w:tcBorders>
            <w:vAlign w:val="center"/>
            <w:hideMark/>
          </w:tcPr>
          <w:p w:rsidR="006C39FB" w:rsidRDefault="006C39FB" w:rsidP="00E9642B">
            <w:pPr>
              <w:jc w:val="center"/>
              <w:rPr>
                <w:b/>
                <w:bCs/>
              </w:rPr>
            </w:pPr>
            <w:r>
              <w:rPr>
                <w:b/>
                <w:bCs/>
              </w:rPr>
              <w:t>Total</w:t>
            </w:r>
          </w:p>
        </w:tc>
      </w:tr>
      <w:tr w:rsidR="006C39FB" w:rsidTr="00E9642B">
        <w:trPr>
          <w:tblCellSpacing w:w="15" w:type="dxa"/>
        </w:trPr>
        <w:tc>
          <w:tcPr>
            <w:tcW w:w="2790" w:type="dxa"/>
            <w:vAlign w:val="center"/>
            <w:hideMark/>
          </w:tcPr>
          <w:p w:rsidR="006C39FB" w:rsidRDefault="006C39FB" w:rsidP="00E9642B">
            <w:r>
              <w:t>Chirurgie (DVP)</w:t>
            </w:r>
          </w:p>
        </w:tc>
        <w:tc>
          <w:tcPr>
            <w:tcW w:w="2380" w:type="dxa"/>
            <w:vAlign w:val="center"/>
            <w:hideMark/>
          </w:tcPr>
          <w:p w:rsidR="006C39FB" w:rsidRDefault="006C39FB" w:rsidP="00E9642B">
            <w:pPr>
              <w:jc w:val="center"/>
            </w:pPr>
            <w:r>
              <w:t>14 (93,3%)</w:t>
            </w:r>
          </w:p>
        </w:tc>
        <w:tc>
          <w:tcPr>
            <w:tcW w:w="2380" w:type="dxa"/>
            <w:vAlign w:val="center"/>
            <w:hideMark/>
          </w:tcPr>
          <w:p w:rsidR="006C39FB" w:rsidRDefault="006C39FB" w:rsidP="00E9642B">
            <w:pPr>
              <w:jc w:val="center"/>
            </w:pPr>
            <w:r>
              <w:t>1 (6,7%)</w:t>
            </w:r>
          </w:p>
        </w:tc>
        <w:tc>
          <w:tcPr>
            <w:tcW w:w="1372" w:type="dxa"/>
            <w:vAlign w:val="center"/>
            <w:hideMark/>
          </w:tcPr>
          <w:p w:rsidR="006C39FB" w:rsidRDefault="006C39FB" w:rsidP="00E9642B">
            <w:pPr>
              <w:jc w:val="center"/>
            </w:pPr>
            <w:r>
              <w:t>15</w:t>
            </w:r>
          </w:p>
        </w:tc>
      </w:tr>
      <w:tr w:rsidR="006C39FB" w:rsidTr="00E9642B">
        <w:trPr>
          <w:tblCellSpacing w:w="15" w:type="dxa"/>
        </w:trPr>
        <w:tc>
          <w:tcPr>
            <w:tcW w:w="2790" w:type="dxa"/>
            <w:vAlign w:val="center"/>
            <w:hideMark/>
          </w:tcPr>
          <w:p w:rsidR="006C39FB" w:rsidRDefault="006C39FB" w:rsidP="00E9642B">
            <w:r>
              <w:t>Traitement médical seul</w:t>
            </w:r>
          </w:p>
        </w:tc>
        <w:tc>
          <w:tcPr>
            <w:tcW w:w="2380" w:type="dxa"/>
            <w:vAlign w:val="center"/>
            <w:hideMark/>
          </w:tcPr>
          <w:p w:rsidR="006C39FB" w:rsidRDefault="006C39FB" w:rsidP="00E9642B">
            <w:pPr>
              <w:jc w:val="center"/>
            </w:pPr>
            <w:r>
              <w:t>6 (66,7%)</w:t>
            </w:r>
          </w:p>
        </w:tc>
        <w:tc>
          <w:tcPr>
            <w:tcW w:w="2380" w:type="dxa"/>
            <w:vAlign w:val="center"/>
            <w:hideMark/>
          </w:tcPr>
          <w:p w:rsidR="006C39FB" w:rsidRDefault="006C39FB" w:rsidP="00E9642B">
            <w:pPr>
              <w:jc w:val="center"/>
            </w:pPr>
            <w:r>
              <w:t>3 (33,3%)</w:t>
            </w:r>
          </w:p>
        </w:tc>
        <w:tc>
          <w:tcPr>
            <w:tcW w:w="1372" w:type="dxa"/>
            <w:vAlign w:val="center"/>
            <w:hideMark/>
          </w:tcPr>
          <w:p w:rsidR="006C39FB" w:rsidRDefault="006C39FB" w:rsidP="00E9642B">
            <w:pPr>
              <w:jc w:val="center"/>
            </w:pPr>
            <w:r>
              <w:t>9</w:t>
            </w:r>
          </w:p>
        </w:tc>
      </w:tr>
      <w:tr w:rsidR="006C39FB" w:rsidTr="00E9642B">
        <w:trPr>
          <w:tblCellSpacing w:w="15" w:type="dxa"/>
        </w:trPr>
        <w:tc>
          <w:tcPr>
            <w:tcW w:w="2790" w:type="dxa"/>
            <w:vAlign w:val="center"/>
            <w:hideMark/>
          </w:tcPr>
          <w:p w:rsidR="006C39FB" w:rsidRDefault="006C39FB" w:rsidP="00E9642B">
            <w:r>
              <w:rPr>
                <w:rStyle w:val="lev"/>
                <w:rFonts w:eastAsiaTheme="majorEastAsia"/>
              </w:rPr>
              <w:t>Total</w:t>
            </w:r>
          </w:p>
        </w:tc>
        <w:tc>
          <w:tcPr>
            <w:tcW w:w="2380" w:type="dxa"/>
            <w:vAlign w:val="center"/>
            <w:hideMark/>
          </w:tcPr>
          <w:p w:rsidR="006C39FB" w:rsidRDefault="006C39FB" w:rsidP="00E9642B">
            <w:pPr>
              <w:jc w:val="center"/>
            </w:pPr>
            <w:r>
              <w:rPr>
                <w:rStyle w:val="lev"/>
                <w:rFonts w:eastAsiaTheme="majorEastAsia"/>
              </w:rPr>
              <w:t>20</w:t>
            </w:r>
          </w:p>
        </w:tc>
        <w:tc>
          <w:tcPr>
            <w:tcW w:w="2380" w:type="dxa"/>
            <w:vAlign w:val="center"/>
            <w:hideMark/>
          </w:tcPr>
          <w:p w:rsidR="006C39FB" w:rsidRDefault="006C39FB" w:rsidP="00E9642B">
            <w:pPr>
              <w:jc w:val="center"/>
            </w:pPr>
            <w:r>
              <w:rPr>
                <w:rStyle w:val="lev"/>
                <w:rFonts w:eastAsiaTheme="majorEastAsia"/>
              </w:rPr>
              <w:t>4</w:t>
            </w:r>
          </w:p>
        </w:tc>
        <w:tc>
          <w:tcPr>
            <w:tcW w:w="1372" w:type="dxa"/>
            <w:vAlign w:val="center"/>
            <w:hideMark/>
          </w:tcPr>
          <w:p w:rsidR="006C39FB" w:rsidRDefault="006C39FB" w:rsidP="00E9642B">
            <w:pPr>
              <w:jc w:val="center"/>
            </w:pPr>
            <w:r>
              <w:rPr>
                <w:rStyle w:val="lev"/>
                <w:rFonts w:eastAsiaTheme="majorEastAsia"/>
              </w:rPr>
              <w:t>24</w:t>
            </w:r>
          </w:p>
        </w:tc>
      </w:tr>
    </w:tbl>
    <w:p w:rsidR="006C39FB" w:rsidRPr="00710D65" w:rsidRDefault="006C39FB" w:rsidP="006C39FB">
      <w:pPr>
        <w:spacing w:line="360" w:lineRule="auto"/>
        <w:jc w:val="both"/>
      </w:pPr>
    </w:p>
    <w:p w:rsidR="006C39FB" w:rsidRPr="006C39FB" w:rsidRDefault="006C39FB" w:rsidP="006C39FB">
      <w:pPr>
        <w:pStyle w:val="Paragraphedeliste"/>
        <w:spacing w:line="240" w:lineRule="auto"/>
        <w:jc w:val="both"/>
        <w:rPr>
          <w:rFonts w:ascii="Times New Roman" w:hAnsi="Times New Roman" w:cs="Times New Roman"/>
          <w:sz w:val="24"/>
          <w:szCs w:val="24"/>
          <w:lang w:val="en-US"/>
        </w:rPr>
      </w:pPr>
    </w:p>
    <w:p w:rsidR="007578D3" w:rsidRPr="006C39FB" w:rsidRDefault="007578D3" w:rsidP="006C39FB">
      <w:pPr>
        <w:pStyle w:val="Paragraphedeliste"/>
        <w:spacing w:line="240" w:lineRule="auto"/>
        <w:jc w:val="both"/>
        <w:rPr>
          <w:rFonts w:ascii="Times New Roman" w:hAnsi="Times New Roman" w:cs="Times New Roman"/>
          <w:sz w:val="24"/>
          <w:szCs w:val="24"/>
          <w:lang w:val="en-US"/>
        </w:rPr>
      </w:pPr>
    </w:p>
    <w:p w:rsidR="007578D3" w:rsidRPr="006C39FB" w:rsidRDefault="007578D3" w:rsidP="006C39FB">
      <w:pPr>
        <w:pStyle w:val="Paragraphedeliste"/>
        <w:spacing w:line="240" w:lineRule="auto"/>
        <w:jc w:val="both"/>
        <w:rPr>
          <w:rFonts w:ascii="Times New Roman" w:hAnsi="Times New Roman" w:cs="Times New Roman"/>
          <w:sz w:val="24"/>
          <w:szCs w:val="24"/>
          <w:lang w:val="en-US"/>
        </w:rPr>
      </w:pPr>
    </w:p>
    <w:p w:rsidR="007578D3" w:rsidRPr="006C39FB" w:rsidRDefault="007578D3" w:rsidP="006C39FB">
      <w:pPr>
        <w:pStyle w:val="Paragraphedeliste"/>
        <w:spacing w:line="240" w:lineRule="auto"/>
        <w:jc w:val="both"/>
        <w:rPr>
          <w:rFonts w:ascii="Times New Roman" w:hAnsi="Times New Roman" w:cs="Times New Roman"/>
          <w:sz w:val="24"/>
          <w:szCs w:val="24"/>
          <w:lang w:val="en-US"/>
        </w:rPr>
      </w:pPr>
    </w:p>
    <w:p w:rsidR="007578D3" w:rsidRPr="006C39FB" w:rsidRDefault="007578D3" w:rsidP="006C39FB">
      <w:pPr>
        <w:pStyle w:val="Paragraphedeliste"/>
        <w:spacing w:line="240" w:lineRule="auto"/>
        <w:jc w:val="both"/>
        <w:rPr>
          <w:rFonts w:ascii="Times New Roman" w:hAnsi="Times New Roman" w:cs="Times New Roman"/>
          <w:sz w:val="24"/>
          <w:szCs w:val="24"/>
          <w:lang w:val="en-US"/>
        </w:rPr>
      </w:pPr>
    </w:p>
    <w:p w:rsidR="007578D3" w:rsidRPr="006C39FB" w:rsidRDefault="007578D3" w:rsidP="006C39FB">
      <w:pPr>
        <w:spacing w:line="240" w:lineRule="auto"/>
        <w:jc w:val="both"/>
        <w:rPr>
          <w:rFonts w:ascii="Times New Roman" w:hAnsi="Times New Roman" w:cs="Times New Roman"/>
          <w:sz w:val="24"/>
          <w:szCs w:val="24"/>
          <w:lang w:val="en-US"/>
        </w:rPr>
      </w:pPr>
    </w:p>
    <w:p w:rsidR="004E3AA4" w:rsidRPr="006C39FB" w:rsidRDefault="004E3AA4" w:rsidP="006C39FB">
      <w:pPr>
        <w:spacing w:line="240" w:lineRule="auto"/>
        <w:rPr>
          <w:rFonts w:ascii="Times New Roman" w:hAnsi="Times New Roman" w:cs="Times New Roman"/>
          <w:sz w:val="24"/>
          <w:szCs w:val="24"/>
          <w:lang w:val="en-US"/>
        </w:rPr>
      </w:pPr>
    </w:p>
    <w:sectPr w:rsidR="004E3AA4" w:rsidRPr="006C39FB" w:rsidSect="007578D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11" w:rsidRDefault="00801A11">
      <w:pPr>
        <w:spacing w:after="0" w:line="240" w:lineRule="auto"/>
      </w:pPr>
      <w:r>
        <w:separator/>
      </w:r>
    </w:p>
  </w:endnote>
  <w:endnote w:type="continuationSeparator" w:id="0">
    <w:p w:rsidR="00801A11" w:rsidRDefault="0080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53" w:rsidRDefault="00004B34">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53" w:rsidRDefault="00004B34">
    <w:r>
      <w:c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11" w:rsidRDefault="00801A11">
      <w:pPr>
        <w:spacing w:after="0" w:line="240" w:lineRule="auto"/>
      </w:pPr>
      <w:r>
        <w:separator/>
      </w:r>
    </w:p>
  </w:footnote>
  <w:footnote w:type="continuationSeparator" w:id="0">
    <w:p w:rsidR="00801A11" w:rsidRDefault="0080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Pr="00D56B95" w:rsidRDefault="00004B34">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rsidR="0056149E">
      <w:rPr>
        <w:lang w:val="en-US"/>
      </w:rPr>
      <w:t>2025;7:689-94.</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Pr="00D56B95" w:rsidRDefault="00004B34">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CC" w:rsidRDefault="007A2D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A1E"/>
    <w:multiLevelType w:val="hybridMultilevel"/>
    <w:tmpl w:val="374A89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BE4B40"/>
    <w:multiLevelType w:val="multilevel"/>
    <w:tmpl w:val="9630342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8D3"/>
    <w:rsid w:val="00004B34"/>
    <w:rsid w:val="00022E28"/>
    <w:rsid w:val="00174E02"/>
    <w:rsid w:val="003D0C72"/>
    <w:rsid w:val="004E3AA4"/>
    <w:rsid w:val="0056149E"/>
    <w:rsid w:val="005653B7"/>
    <w:rsid w:val="006C39FB"/>
    <w:rsid w:val="007578D3"/>
    <w:rsid w:val="007A2DCC"/>
    <w:rsid w:val="00801A11"/>
    <w:rsid w:val="00A2202E"/>
    <w:rsid w:val="00A97B53"/>
    <w:rsid w:val="00BF24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AutoShape 11"/>
        <o:r id="V:Rule2" type="connector" idref="#_x0000_s1030"/>
        <o:r id="V:Rule3" type="connector" idref="#AutoShape 13"/>
        <o:r id="V:Rule4" type="connector" idref="#AutoShape 17"/>
        <o:r id="V:Rule5" type="connector" idref="#AutoShape 15"/>
        <o:r id="V:Rule6" type="connector" idref="#AutoShape 16"/>
      </o:rules>
    </o:shapelayout>
  </w:shapeDefaults>
  <w:decimalSymbol w:val=","/>
  <w:listSeparator w:val=";"/>
  <w15:docId w15:val="{08247B46-92C1-48DA-B071-9D2C194C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D3"/>
    <w:pPr>
      <w:spacing w:after="200" w:line="276" w:lineRule="auto"/>
    </w:pPr>
    <w:rPr>
      <w:kern w:val="0"/>
      <w:sz w:val="22"/>
      <w:szCs w:val="22"/>
    </w:rPr>
  </w:style>
  <w:style w:type="paragraph" w:styleId="Titre1">
    <w:name w:val="heading 1"/>
    <w:basedOn w:val="Normal"/>
    <w:next w:val="Normal"/>
    <w:link w:val="Titre1Car"/>
    <w:uiPriority w:val="9"/>
    <w:qFormat/>
    <w:rsid w:val="00757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7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78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78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78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78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8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8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8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8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78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78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78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78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78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8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8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8D3"/>
    <w:rPr>
      <w:rFonts w:eastAsiaTheme="majorEastAsia" w:cstheme="majorBidi"/>
      <w:color w:val="272727" w:themeColor="text1" w:themeTint="D8"/>
    </w:rPr>
  </w:style>
  <w:style w:type="paragraph" w:styleId="Titre">
    <w:name w:val="Title"/>
    <w:basedOn w:val="Normal"/>
    <w:next w:val="Normal"/>
    <w:link w:val="TitreCar"/>
    <w:uiPriority w:val="10"/>
    <w:qFormat/>
    <w:rsid w:val="007578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8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8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8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8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78D3"/>
    <w:rPr>
      <w:i/>
      <w:iCs/>
      <w:color w:val="404040" w:themeColor="text1" w:themeTint="BF"/>
    </w:rPr>
  </w:style>
  <w:style w:type="paragraph" w:styleId="Paragraphedeliste">
    <w:name w:val="List Paragraph"/>
    <w:basedOn w:val="Normal"/>
    <w:uiPriority w:val="34"/>
    <w:qFormat/>
    <w:rsid w:val="007578D3"/>
    <w:pPr>
      <w:ind w:left="720"/>
      <w:contextualSpacing/>
    </w:pPr>
  </w:style>
  <w:style w:type="character" w:styleId="Emphaseintense">
    <w:name w:val="Intense Emphasis"/>
    <w:basedOn w:val="Policepardfaut"/>
    <w:uiPriority w:val="21"/>
    <w:qFormat/>
    <w:rsid w:val="007578D3"/>
    <w:rPr>
      <w:i/>
      <w:iCs/>
      <w:color w:val="2F5496" w:themeColor="accent1" w:themeShade="BF"/>
    </w:rPr>
  </w:style>
  <w:style w:type="paragraph" w:styleId="Citationintense">
    <w:name w:val="Intense Quote"/>
    <w:basedOn w:val="Normal"/>
    <w:next w:val="Normal"/>
    <w:link w:val="CitationintenseCar"/>
    <w:uiPriority w:val="30"/>
    <w:qFormat/>
    <w:rsid w:val="00757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78D3"/>
    <w:rPr>
      <w:i/>
      <w:iCs/>
      <w:color w:val="2F5496" w:themeColor="accent1" w:themeShade="BF"/>
    </w:rPr>
  </w:style>
  <w:style w:type="character" w:styleId="Rfrenceintense">
    <w:name w:val="Intense Reference"/>
    <w:basedOn w:val="Policepardfaut"/>
    <w:uiPriority w:val="32"/>
    <w:qFormat/>
    <w:rsid w:val="007578D3"/>
    <w:rPr>
      <w:b/>
      <w:bCs/>
      <w:smallCaps/>
      <w:color w:val="2F5496" w:themeColor="accent1" w:themeShade="BF"/>
      <w:spacing w:val="5"/>
    </w:rPr>
  </w:style>
  <w:style w:type="paragraph" w:styleId="En-tte">
    <w:name w:val="header"/>
    <w:basedOn w:val="Normal"/>
    <w:link w:val="En-tteCar"/>
    <w:uiPriority w:val="99"/>
    <w:unhideWhenUsed/>
    <w:rsid w:val="007578D3"/>
    <w:pPr>
      <w:tabs>
        <w:tab w:val="center" w:pos="4536"/>
        <w:tab w:val="right" w:pos="9072"/>
      </w:tabs>
      <w:spacing w:after="0" w:line="240" w:lineRule="auto"/>
    </w:pPr>
  </w:style>
  <w:style w:type="character" w:customStyle="1" w:styleId="En-tteCar">
    <w:name w:val="En-tête Car"/>
    <w:basedOn w:val="Policepardfaut"/>
    <w:link w:val="En-tte"/>
    <w:uiPriority w:val="99"/>
    <w:rsid w:val="007578D3"/>
    <w:rPr>
      <w:kern w:val="0"/>
      <w:sz w:val="22"/>
      <w:szCs w:val="22"/>
    </w:rPr>
  </w:style>
  <w:style w:type="paragraph" w:styleId="Pieddepage">
    <w:name w:val="footer"/>
    <w:basedOn w:val="Normal"/>
    <w:link w:val="PieddepageCar"/>
    <w:uiPriority w:val="99"/>
    <w:unhideWhenUsed/>
    <w:rsid w:val="00757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8D3"/>
    <w:rPr>
      <w:kern w:val="0"/>
      <w:sz w:val="22"/>
      <w:szCs w:val="22"/>
    </w:rPr>
  </w:style>
  <w:style w:type="character" w:styleId="lev">
    <w:name w:val="Strong"/>
    <w:uiPriority w:val="22"/>
    <w:qFormat/>
    <w:rsid w:val="007578D3"/>
    <w:rPr>
      <w:b/>
      <w:bCs/>
    </w:rPr>
  </w:style>
  <w:style w:type="paragraph" w:styleId="NormalWeb">
    <w:name w:val="Normal (Web)"/>
    <w:basedOn w:val="Normal"/>
    <w:uiPriority w:val="99"/>
    <w:unhideWhenUsed/>
    <w:rsid w:val="006C39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39FB"/>
    <w:rPr>
      <w:i/>
      <w:iCs/>
    </w:rPr>
  </w:style>
  <w:style w:type="paragraph" w:styleId="Textedebulles">
    <w:name w:val="Balloon Text"/>
    <w:basedOn w:val="Normal"/>
    <w:link w:val="TextedebullesCar"/>
    <w:uiPriority w:val="99"/>
    <w:semiHidden/>
    <w:unhideWhenUsed/>
    <w:rsid w:val="005653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53B7"/>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1902</Words>
  <Characters>10465</Characters>
  <Application>Microsoft Office Word</Application>
  <DocSecurity>0</DocSecurity>
  <Lines>87</Lines>
  <Paragraphs>24</Paragraphs>
  <ScaleCrop>false</ScaleCrop>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 Andry Ramanantseheno</dc:creator>
  <cp:keywords/>
  <dc:description/>
  <cp:lastModifiedBy>RANTOU</cp:lastModifiedBy>
  <cp:revision>6</cp:revision>
  <dcterms:created xsi:type="dcterms:W3CDTF">2026-01-28T09:26:00Z</dcterms:created>
  <dcterms:modified xsi:type="dcterms:W3CDTF">2026-01-31T08:43:00Z</dcterms:modified>
</cp:coreProperties>
</file>